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1"/>
        <w:gridCol w:w="4261"/>
      </w:tblGrid>
      <w:tr w:rsidR="00E8036E" w:rsidRPr="00AB1B20" w14:paraId="4F7C69AB" w14:textId="77777777" w:rsidTr="00BD5F61">
        <w:tc>
          <w:tcPr>
            <w:tcW w:w="8522" w:type="dxa"/>
            <w:gridSpan w:val="2"/>
            <w:shd w:val="clear" w:color="auto" w:fill="auto"/>
          </w:tcPr>
          <w:p w14:paraId="6CBC3787" w14:textId="77777777" w:rsidR="00E8036E" w:rsidRPr="00AB1B20" w:rsidRDefault="00E8036E" w:rsidP="00E8036E">
            <w:pPr>
              <w:rPr>
                <w:rFonts w:ascii="Arial" w:hAnsi="Arial" w:cs="Arial"/>
                <w:b/>
              </w:rPr>
            </w:pPr>
          </w:p>
          <w:p w14:paraId="0BAB3606" w14:textId="7101B214" w:rsidR="00E8036E" w:rsidRPr="00AB1B20" w:rsidRDefault="00E8036E" w:rsidP="00BD5F61">
            <w:pPr>
              <w:jc w:val="center"/>
              <w:rPr>
                <w:rFonts w:ascii="Arial" w:hAnsi="Arial" w:cs="Arial"/>
                <w:b/>
              </w:rPr>
            </w:pPr>
            <w:r w:rsidRPr="00AB1B20">
              <w:rPr>
                <w:rFonts w:ascii="Arial" w:hAnsi="Arial" w:cs="Arial"/>
                <w:b/>
              </w:rPr>
              <w:t>Regulatory Triage Assessment</w:t>
            </w:r>
            <w:r w:rsidR="00100E48">
              <w:rPr>
                <w:rFonts w:ascii="Arial" w:hAnsi="Arial" w:cs="Arial"/>
                <w:b/>
              </w:rPr>
              <w:t xml:space="preserve"> (</w:t>
            </w:r>
            <w:r w:rsidR="00100E48" w:rsidRPr="00100E48">
              <w:rPr>
                <w:rFonts w:ascii="Arial" w:hAnsi="Arial" w:cs="Arial"/>
                <w:b/>
                <w:i/>
              </w:rPr>
              <w:t>nb this document was prepared in March 2017 an</w:t>
            </w:r>
            <w:bookmarkStart w:id="0" w:name="_GoBack"/>
            <w:bookmarkEnd w:id="0"/>
            <w:r w:rsidR="00100E48" w:rsidRPr="00100E48">
              <w:rPr>
                <w:rFonts w:ascii="Arial" w:hAnsi="Arial" w:cs="Arial"/>
                <w:b/>
                <w:i/>
              </w:rPr>
              <w:t>d reflects assumptions and costs at that time. It will be updated following consultation</w:t>
            </w:r>
            <w:r w:rsidR="00100E48">
              <w:rPr>
                <w:rFonts w:ascii="Arial" w:hAnsi="Arial" w:cs="Arial"/>
                <w:b/>
              </w:rPr>
              <w:t>)</w:t>
            </w:r>
          </w:p>
          <w:p w14:paraId="424440F2" w14:textId="77777777" w:rsidR="00E8036E" w:rsidRPr="00AB1B20" w:rsidRDefault="00E8036E" w:rsidP="00BD5F61">
            <w:pPr>
              <w:jc w:val="center"/>
              <w:rPr>
                <w:rFonts w:ascii="Arial" w:hAnsi="Arial" w:cs="Arial"/>
                <w:b/>
              </w:rPr>
            </w:pPr>
          </w:p>
        </w:tc>
      </w:tr>
      <w:tr w:rsidR="00E8036E" w:rsidRPr="00AB1B20" w14:paraId="6B52A89B" w14:textId="77777777" w:rsidTr="00BD5F61">
        <w:tc>
          <w:tcPr>
            <w:tcW w:w="4261" w:type="dxa"/>
            <w:shd w:val="clear" w:color="auto" w:fill="auto"/>
          </w:tcPr>
          <w:p w14:paraId="72EE9238" w14:textId="77777777" w:rsidR="00E8036E" w:rsidRPr="00AB1B20" w:rsidRDefault="00731B42" w:rsidP="00A65FFD">
            <w:pPr>
              <w:rPr>
                <w:rFonts w:ascii="Arial" w:hAnsi="Arial" w:cs="Arial"/>
                <w:b/>
              </w:rPr>
            </w:pPr>
            <w:r w:rsidRPr="00AB1B20">
              <w:rPr>
                <w:rFonts w:ascii="Arial" w:hAnsi="Arial" w:cs="Arial"/>
                <w:b/>
              </w:rPr>
              <w:t xml:space="preserve">Title of </w:t>
            </w:r>
            <w:r w:rsidR="00A65FFD" w:rsidRPr="00AB1B20">
              <w:rPr>
                <w:rFonts w:ascii="Arial" w:hAnsi="Arial" w:cs="Arial"/>
                <w:b/>
              </w:rPr>
              <w:t>measure</w:t>
            </w:r>
          </w:p>
        </w:tc>
        <w:tc>
          <w:tcPr>
            <w:tcW w:w="4261" w:type="dxa"/>
            <w:shd w:val="clear" w:color="auto" w:fill="auto"/>
          </w:tcPr>
          <w:p w14:paraId="456C6B06" w14:textId="366D0345" w:rsidR="00E8036E" w:rsidRPr="00AB1B20" w:rsidRDefault="005C16C5" w:rsidP="00936C94">
            <w:pPr>
              <w:pStyle w:val="IATitle"/>
              <w:ind w:left="0"/>
              <w:rPr>
                <w:sz w:val="24"/>
              </w:rPr>
            </w:pPr>
            <w:r>
              <w:rPr>
                <w:sz w:val="24"/>
              </w:rPr>
              <w:t>Independent Schools Fees Regulations revision</w:t>
            </w:r>
          </w:p>
        </w:tc>
      </w:tr>
      <w:tr w:rsidR="00E8036E" w:rsidRPr="00AB1B20" w14:paraId="6E531864" w14:textId="77777777" w:rsidTr="00BD5F61">
        <w:tc>
          <w:tcPr>
            <w:tcW w:w="4261" w:type="dxa"/>
            <w:shd w:val="clear" w:color="auto" w:fill="auto"/>
          </w:tcPr>
          <w:p w14:paraId="5D1B43EF" w14:textId="77777777" w:rsidR="00E8036E" w:rsidRPr="00AB1B20" w:rsidRDefault="00E8036E" w:rsidP="003D079A">
            <w:pPr>
              <w:rPr>
                <w:rFonts w:ascii="Arial" w:hAnsi="Arial" w:cs="Arial"/>
                <w:b/>
              </w:rPr>
            </w:pPr>
            <w:r w:rsidRPr="00AB1B20">
              <w:rPr>
                <w:rFonts w:ascii="Arial" w:hAnsi="Arial" w:cs="Arial"/>
                <w:b/>
              </w:rPr>
              <w:t>Lead Department/Agency</w:t>
            </w:r>
          </w:p>
        </w:tc>
        <w:tc>
          <w:tcPr>
            <w:tcW w:w="4261" w:type="dxa"/>
            <w:shd w:val="clear" w:color="auto" w:fill="auto"/>
          </w:tcPr>
          <w:p w14:paraId="7A0A0AF3" w14:textId="77777777" w:rsidR="00E8036E" w:rsidRPr="00AB1B20" w:rsidRDefault="00D40AAE" w:rsidP="00027405">
            <w:pPr>
              <w:rPr>
                <w:rFonts w:ascii="Arial" w:hAnsi="Arial" w:cs="Arial"/>
              </w:rPr>
            </w:pPr>
            <w:r w:rsidRPr="00AB1B20">
              <w:rPr>
                <w:rFonts w:ascii="Arial" w:hAnsi="Arial" w:cs="Arial"/>
              </w:rPr>
              <w:fldChar w:fldCharType="begin">
                <w:ffData>
                  <w:name w:val="Text18"/>
                  <w:enabled/>
                  <w:calcOnExit w:val="0"/>
                  <w:textInput/>
                </w:ffData>
              </w:fldChar>
            </w:r>
            <w:bookmarkStart w:id="1" w:name="Text18"/>
            <w:r w:rsidRPr="00AB1B20">
              <w:rPr>
                <w:rFonts w:ascii="Arial" w:hAnsi="Arial" w:cs="Arial"/>
              </w:rPr>
              <w:instrText xml:space="preserve"> FORMTEXT </w:instrText>
            </w:r>
            <w:r w:rsidRPr="00AB1B20">
              <w:rPr>
                <w:rFonts w:ascii="Arial" w:hAnsi="Arial" w:cs="Arial"/>
              </w:rPr>
            </w:r>
            <w:r w:rsidRPr="00AB1B20">
              <w:rPr>
                <w:rFonts w:ascii="Arial" w:hAnsi="Arial" w:cs="Arial"/>
              </w:rPr>
              <w:fldChar w:fldCharType="separate"/>
            </w:r>
            <w:r w:rsidR="00027405" w:rsidRPr="00AB1B20">
              <w:rPr>
                <w:rFonts w:ascii="Arial" w:hAnsi="Arial" w:cs="Arial"/>
                <w:noProof/>
              </w:rPr>
              <w:t>DfE</w:t>
            </w:r>
            <w:r w:rsidRPr="00AB1B20">
              <w:rPr>
                <w:rFonts w:ascii="Arial" w:hAnsi="Arial" w:cs="Arial"/>
              </w:rPr>
              <w:fldChar w:fldCharType="end"/>
            </w:r>
            <w:bookmarkEnd w:id="1"/>
          </w:p>
        </w:tc>
      </w:tr>
      <w:tr w:rsidR="00E8036E" w:rsidRPr="00AB1B20" w14:paraId="55E315E5" w14:textId="77777777" w:rsidTr="00BD5F61">
        <w:tc>
          <w:tcPr>
            <w:tcW w:w="4261" w:type="dxa"/>
            <w:shd w:val="clear" w:color="auto" w:fill="auto"/>
          </w:tcPr>
          <w:p w14:paraId="04DBA7F2" w14:textId="77777777" w:rsidR="00E8036E" w:rsidRPr="00AB1B20" w:rsidRDefault="00E8036E" w:rsidP="003D079A">
            <w:pPr>
              <w:rPr>
                <w:rFonts w:ascii="Arial" w:hAnsi="Arial" w:cs="Arial"/>
                <w:b/>
              </w:rPr>
            </w:pPr>
            <w:r w:rsidRPr="00AB1B20">
              <w:rPr>
                <w:rFonts w:ascii="Arial" w:hAnsi="Arial" w:cs="Arial"/>
                <w:b/>
              </w:rPr>
              <w:t>Expected date of implementation</w:t>
            </w:r>
          </w:p>
        </w:tc>
        <w:tc>
          <w:tcPr>
            <w:tcW w:w="4261" w:type="dxa"/>
            <w:shd w:val="clear" w:color="auto" w:fill="auto"/>
          </w:tcPr>
          <w:p w14:paraId="79C6ACE0" w14:textId="434EE5DA" w:rsidR="00E8036E" w:rsidRPr="00AB1B20" w:rsidRDefault="005C16C5" w:rsidP="00BF7264">
            <w:pPr>
              <w:rPr>
                <w:rFonts w:ascii="Arial" w:hAnsi="Arial" w:cs="Arial"/>
              </w:rPr>
            </w:pPr>
            <w:r>
              <w:rPr>
                <w:rFonts w:ascii="Arial" w:hAnsi="Arial" w:cs="Arial"/>
              </w:rPr>
              <w:t>November 2017</w:t>
            </w:r>
          </w:p>
        </w:tc>
      </w:tr>
      <w:tr w:rsidR="00E8036E" w:rsidRPr="00AB1B20" w14:paraId="51D7B9C7" w14:textId="77777777" w:rsidTr="00BD5F61">
        <w:tc>
          <w:tcPr>
            <w:tcW w:w="4261" w:type="dxa"/>
            <w:shd w:val="clear" w:color="auto" w:fill="auto"/>
          </w:tcPr>
          <w:p w14:paraId="03CBCA3C" w14:textId="77777777" w:rsidR="00E8036E" w:rsidRPr="00AB1B20" w:rsidRDefault="00E8036E" w:rsidP="003D079A">
            <w:pPr>
              <w:rPr>
                <w:rFonts w:ascii="Arial" w:hAnsi="Arial" w:cs="Arial"/>
                <w:b/>
              </w:rPr>
            </w:pPr>
            <w:r w:rsidRPr="00AB1B20">
              <w:rPr>
                <w:rFonts w:ascii="Arial" w:hAnsi="Arial" w:cs="Arial"/>
                <w:b/>
              </w:rPr>
              <w:t>Origin</w:t>
            </w:r>
          </w:p>
        </w:tc>
        <w:bookmarkStart w:id="2" w:name="Dropdown1"/>
        <w:tc>
          <w:tcPr>
            <w:tcW w:w="4261" w:type="dxa"/>
            <w:shd w:val="clear" w:color="auto" w:fill="auto"/>
          </w:tcPr>
          <w:p w14:paraId="3C1A23AF" w14:textId="77777777" w:rsidR="00E8036E" w:rsidRPr="00AB1B20" w:rsidRDefault="00F0556C" w:rsidP="003D079A">
            <w:pPr>
              <w:rPr>
                <w:rFonts w:ascii="Arial" w:hAnsi="Arial" w:cs="Arial"/>
              </w:rPr>
            </w:pPr>
            <w:r w:rsidRPr="00AB1B20">
              <w:rPr>
                <w:rFonts w:ascii="Arial" w:hAnsi="Arial" w:cs="Arial"/>
              </w:rPr>
              <w:fldChar w:fldCharType="begin">
                <w:ffData>
                  <w:name w:val="Dropdown1"/>
                  <w:enabled/>
                  <w:calcOnExit w:val="0"/>
                  <w:ddList>
                    <w:listEntry w:val="Domestic"/>
                    <w:listEntry w:val="EU"/>
                    <w:listEntry w:val="International"/>
                  </w:ddList>
                </w:ffData>
              </w:fldChar>
            </w:r>
            <w:r w:rsidRPr="00AB1B20">
              <w:rPr>
                <w:rFonts w:ascii="Arial" w:hAnsi="Arial" w:cs="Arial"/>
              </w:rPr>
              <w:instrText xml:space="preserve"> FORMDROPDOWN </w:instrText>
            </w:r>
            <w:r w:rsidR="00100E48">
              <w:rPr>
                <w:rFonts w:ascii="Arial" w:hAnsi="Arial" w:cs="Arial"/>
              </w:rPr>
            </w:r>
            <w:r w:rsidR="00100E48">
              <w:rPr>
                <w:rFonts w:ascii="Arial" w:hAnsi="Arial" w:cs="Arial"/>
              </w:rPr>
              <w:fldChar w:fldCharType="separate"/>
            </w:r>
            <w:r w:rsidRPr="00AB1B20">
              <w:rPr>
                <w:rFonts w:ascii="Arial" w:hAnsi="Arial" w:cs="Arial"/>
              </w:rPr>
              <w:fldChar w:fldCharType="end"/>
            </w:r>
            <w:bookmarkEnd w:id="2"/>
          </w:p>
        </w:tc>
      </w:tr>
      <w:tr w:rsidR="00E8036E" w:rsidRPr="00AB1B20" w14:paraId="76B772A7" w14:textId="77777777" w:rsidTr="00BD5F61">
        <w:tc>
          <w:tcPr>
            <w:tcW w:w="4261" w:type="dxa"/>
            <w:shd w:val="clear" w:color="auto" w:fill="auto"/>
          </w:tcPr>
          <w:p w14:paraId="5BFEF2E3" w14:textId="77777777" w:rsidR="00E8036E" w:rsidRPr="00AB1B20" w:rsidRDefault="00E8036E" w:rsidP="003D079A">
            <w:pPr>
              <w:rPr>
                <w:rFonts w:ascii="Arial" w:hAnsi="Arial" w:cs="Arial"/>
                <w:b/>
              </w:rPr>
            </w:pPr>
            <w:r w:rsidRPr="00AB1B20">
              <w:rPr>
                <w:rFonts w:ascii="Arial" w:hAnsi="Arial" w:cs="Arial"/>
                <w:b/>
              </w:rPr>
              <w:t>Date</w:t>
            </w:r>
          </w:p>
        </w:tc>
        <w:tc>
          <w:tcPr>
            <w:tcW w:w="4261" w:type="dxa"/>
            <w:shd w:val="clear" w:color="auto" w:fill="auto"/>
          </w:tcPr>
          <w:p w14:paraId="5EB8E85F" w14:textId="5557A856" w:rsidR="00E8036E" w:rsidRPr="00AB1B20" w:rsidRDefault="00BF7264" w:rsidP="00027405">
            <w:pPr>
              <w:rPr>
                <w:rFonts w:ascii="Arial" w:hAnsi="Arial" w:cs="Arial"/>
              </w:rPr>
            </w:pPr>
            <w:r w:rsidRPr="00AB1B20">
              <w:rPr>
                <w:rFonts w:ascii="Arial" w:hAnsi="Arial" w:cs="Arial"/>
              </w:rPr>
              <w:t>08/03/2017</w:t>
            </w:r>
          </w:p>
        </w:tc>
      </w:tr>
      <w:tr w:rsidR="00C603B0" w:rsidRPr="00AB1B20" w14:paraId="63722A40" w14:textId="77777777" w:rsidTr="00BD5F61">
        <w:tc>
          <w:tcPr>
            <w:tcW w:w="4261" w:type="dxa"/>
            <w:shd w:val="clear" w:color="auto" w:fill="auto"/>
          </w:tcPr>
          <w:p w14:paraId="76B67151" w14:textId="77777777" w:rsidR="00C603B0" w:rsidRPr="00AB1B20" w:rsidRDefault="00C603B0" w:rsidP="003D079A">
            <w:pPr>
              <w:rPr>
                <w:rFonts w:ascii="Arial" w:hAnsi="Arial" w:cs="Arial"/>
                <w:b/>
              </w:rPr>
            </w:pPr>
            <w:r w:rsidRPr="00AB1B20">
              <w:rPr>
                <w:rFonts w:ascii="Arial" w:hAnsi="Arial" w:cs="Arial"/>
                <w:b/>
              </w:rPr>
              <w:t>Lead Departmental Contact</w:t>
            </w:r>
          </w:p>
        </w:tc>
        <w:tc>
          <w:tcPr>
            <w:tcW w:w="4261" w:type="dxa"/>
            <w:shd w:val="clear" w:color="auto" w:fill="auto"/>
          </w:tcPr>
          <w:p w14:paraId="50262BFB" w14:textId="77777777" w:rsidR="00C603B0" w:rsidRPr="00AB1B20" w:rsidRDefault="00D40AAE" w:rsidP="00027405">
            <w:pPr>
              <w:rPr>
                <w:rFonts w:ascii="Arial" w:hAnsi="Arial" w:cs="Arial"/>
              </w:rPr>
            </w:pPr>
            <w:r w:rsidRPr="00AB1B20">
              <w:rPr>
                <w:rFonts w:ascii="Arial" w:hAnsi="Arial" w:cs="Arial"/>
              </w:rPr>
              <w:fldChar w:fldCharType="begin">
                <w:ffData>
                  <w:name w:val="Text22"/>
                  <w:enabled/>
                  <w:calcOnExit w:val="0"/>
                  <w:textInput/>
                </w:ffData>
              </w:fldChar>
            </w:r>
            <w:bookmarkStart w:id="3" w:name="Text22"/>
            <w:r w:rsidRPr="00AB1B20">
              <w:rPr>
                <w:rFonts w:ascii="Arial" w:hAnsi="Arial" w:cs="Arial"/>
              </w:rPr>
              <w:instrText xml:space="preserve"> FORMTEXT </w:instrText>
            </w:r>
            <w:r w:rsidRPr="00AB1B20">
              <w:rPr>
                <w:rFonts w:ascii="Arial" w:hAnsi="Arial" w:cs="Arial"/>
              </w:rPr>
            </w:r>
            <w:r w:rsidRPr="00AB1B20">
              <w:rPr>
                <w:rFonts w:ascii="Arial" w:hAnsi="Arial" w:cs="Arial"/>
              </w:rPr>
              <w:fldChar w:fldCharType="separate"/>
            </w:r>
            <w:r w:rsidR="00027405" w:rsidRPr="00AB1B20">
              <w:rPr>
                <w:rFonts w:ascii="Arial" w:hAnsi="Arial" w:cs="Arial"/>
                <w:noProof/>
              </w:rPr>
              <w:t>Claire Evans</w:t>
            </w:r>
            <w:r w:rsidRPr="00AB1B20">
              <w:rPr>
                <w:rFonts w:ascii="Arial" w:hAnsi="Arial" w:cs="Arial"/>
              </w:rPr>
              <w:fldChar w:fldCharType="end"/>
            </w:r>
            <w:bookmarkEnd w:id="3"/>
          </w:p>
        </w:tc>
      </w:tr>
      <w:tr w:rsidR="00C61BA7" w:rsidRPr="00AB1B20" w14:paraId="520AF077" w14:textId="77777777" w:rsidTr="00BD5F61">
        <w:tc>
          <w:tcPr>
            <w:tcW w:w="4261" w:type="dxa"/>
            <w:shd w:val="clear" w:color="auto" w:fill="auto"/>
          </w:tcPr>
          <w:p w14:paraId="2DCBD2EF" w14:textId="77777777" w:rsidR="00C61BA7" w:rsidRPr="00AB1B20" w:rsidRDefault="00C61BA7" w:rsidP="009D6934">
            <w:pPr>
              <w:rPr>
                <w:rFonts w:ascii="Arial" w:hAnsi="Arial" w:cs="Arial"/>
                <w:b/>
              </w:rPr>
            </w:pPr>
            <w:r w:rsidRPr="00AB1B20">
              <w:rPr>
                <w:rFonts w:ascii="Arial" w:hAnsi="Arial" w:cs="Arial"/>
                <w:b/>
              </w:rPr>
              <w:t>Departmental Triage Assessment</w:t>
            </w:r>
          </w:p>
        </w:tc>
        <w:tc>
          <w:tcPr>
            <w:tcW w:w="4261" w:type="dxa"/>
            <w:shd w:val="clear" w:color="auto" w:fill="auto"/>
          </w:tcPr>
          <w:p w14:paraId="7F67F40F" w14:textId="77777777" w:rsidR="00C61BA7" w:rsidRPr="00AB1B20" w:rsidRDefault="004525A5" w:rsidP="009D6934">
            <w:pPr>
              <w:rPr>
                <w:rFonts w:ascii="Arial" w:hAnsi="Arial" w:cs="Arial"/>
              </w:rPr>
            </w:pPr>
            <w:r w:rsidRPr="00AB1B20">
              <w:rPr>
                <w:rFonts w:ascii="Arial" w:hAnsi="Arial" w:cs="Arial"/>
              </w:rPr>
              <w:fldChar w:fldCharType="begin">
                <w:ffData>
                  <w:name w:val=""/>
                  <w:enabled/>
                  <w:calcOnExit w:val="0"/>
                  <w:ddList>
                    <w:result w:val="1"/>
                    <w:listEntry w:val="Deregulation (fast track)"/>
                    <w:listEntry w:val="Low-cost regulation (fast track)"/>
                    <w:listEntry w:val="Trivial/mechanical (out of scope)"/>
                  </w:ddList>
                </w:ffData>
              </w:fldChar>
            </w:r>
            <w:r w:rsidRPr="00AB1B20">
              <w:rPr>
                <w:rFonts w:ascii="Arial" w:hAnsi="Arial" w:cs="Arial"/>
              </w:rPr>
              <w:instrText xml:space="preserve"> FORMDROPDOWN </w:instrText>
            </w:r>
            <w:r w:rsidR="00100E48">
              <w:rPr>
                <w:rFonts w:ascii="Arial" w:hAnsi="Arial" w:cs="Arial"/>
              </w:rPr>
            </w:r>
            <w:r w:rsidR="00100E48">
              <w:rPr>
                <w:rFonts w:ascii="Arial" w:hAnsi="Arial" w:cs="Arial"/>
              </w:rPr>
              <w:fldChar w:fldCharType="separate"/>
            </w:r>
            <w:r w:rsidRPr="00AB1B20">
              <w:rPr>
                <w:rFonts w:ascii="Arial" w:hAnsi="Arial" w:cs="Arial"/>
              </w:rPr>
              <w:fldChar w:fldCharType="end"/>
            </w:r>
          </w:p>
        </w:tc>
      </w:tr>
    </w:tbl>
    <w:p w14:paraId="08B7D961" w14:textId="77777777" w:rsidR="00D40AAE" w:rsidRPr="00AB1B20" w:rsidRDefault="00D40AAE" w:rsidP="00E8036E">
      <w:pPr>
        <w:rPr>
          <w:rFonts w:ascii="Arial" w:hAnsi="Arial" w:cs="Arial"/>
          <w:b/>
        </w:rPr>
        <w:sectPr w:rsidR="00D40AAE" w:rsidRPr="00AB1B20">
          <w:pgSz w:w="11906" w:h="16838"/>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E8036E" w:rsidRPr="00AB1B20" w14:paraId="5C5E3C68" w14:textId="77777777" w:rsidTr="00BD5F61">
        <w:trPr>
          <w:trHeight w:val="1578"/>
        </w:trPr>
        <w:tc>
          <w:tcPr>
            <w:tcW w:w="8522" w:type="dxa"/>
            <w:shd w:val="clear" w:color="auto" w:fill="auto"/>
          </w:tcPr>
          <w:p w14:paraId="101B110B" w14:textId="76998A4E" w:rsidR="00E8036E" w:rsidRPr="00AB1B20" w:rsidRDefault="00010B32" w:rsidP="00E8036E">
            <w:pPr>
              <w:rPr>
                <w:rFonts w:ascii="Arial" w:hAnsi="Arial" w:cs="Arial"/>
                <w:b/>
              </w:rPr>
            </w:pPr>
            <w:r w:rsidRPr="00AB1B20">
              <w:rPr>
                <w:rFonts w:ascii="Arial" w:hAnsi="Arial" w:cs="Arial"/>
                <w:b/>
              </w:rPr>
              <w:t xml:space="preserve">Rationale for intervention and </w:t>
            </w:r>
            <w:r w:rsidR="00AB1B20">
              <w:rPr>
                <w:rFonts w:ascii="Arial" w:hAnsi="Arial" w:cs="Arial"/>
                <w:b/>
              </w:rPr>
              <w:t>intended effects</w:t>
            </w:r>
          </w:p>
          <w:p w14:paraId="79698C50" w14:textId="42D8F9E6" w:rsidR="00781AC8" w:rsidRDefault="00AB1B20" w:rsidP="00E8036E">
            <w:pPr>
              <w:rPr>
                <w:rFonts w:ascii="Arial" w:hAnsi="Arial" w:cs="Arial"/>
              </w:rPr>
            </w:pPr>
            <w:r>
              <w:rPr>
                <w:rFonts w:ascii="Arial" w:hAnsi="Arial" w:cs="Arial"/>
              </w:rPr>
              <w:t xml:space="preserve">At </w:t>
            </w:r>
            <w:r w:rsidRPr="00AB1B20">
              <w:rPr>
                <w:rFonts w:ascii="Arial" w:hAnsi="Arial" w:cs="Arial"/>
              </w:rPr>
              <w:t>present</w:t>
            </w:r>
            <w:r>
              <w:rPr>
                <w:rFonts w:ascii="Arial" w:hAnsi="Arial" w:cs="Arial"/>
              </w:rPr>
              <w:t>,</w:t>
            </w:r>
            <w:r w:rsidRPr="00AB1B20">
              <w:rPr>
                <w:rFonts w:ascii="Arial" w:hAnsi="Arial" w:cs="Arial"/>
              </w:rPr>
              <w:t xml:space="preserve"> the rate of cost recovery for Ofsted inspections of independent schools is very low. This is despite HM Treasury policy that inspection activity should recover as close to full cost as possible. Since fees charged for such inspections are set in regulations, government intervention is needed to change this situation</w:t>
            </w:r>
            <w:r>
              <w:rPr>
                <w:rFonts w:ascii="Arial" w:hAnsi="Arial" w:cs="Arial"/>
              </w:rPr>
              <w:t>.</w:t>
            </w:r>
          </w:p>
          <w:p w14:paraId="6CE709AB" w14:textId="60457816" w:rsidR="00936C94" w:rsidRPr="00AB1B20" w:rsidRDefault="00AB1B20" w:rsidP="00936C94">
            <w:pPr>
              <w:rPr>
                <w:rFonts w:ascii="Arial" w:hAnsi="Arial" w:cs="Arial"/>
              </w:rPr>
            </w:pPr>
            <w:r>
              <w:rPr>
                <w:rFonts w:ascii="Arial" w:hAnsi="Arial" w:cs="Arial"/>
              </w:rPr>
              <w:t xml:space="preserve">The </w:t>
            </w:r>
            <w:r w:rsidRPr="00AB1B20">
              <w:rPr>
                <w:rFonts w:ascii="Arial" w:hAnsi="Arial" w:cs="Arial"/>
              </w:rPr>
              <w:t xml:space="preserve">policy objective is to move closer to full cost recovery whilst achieving a reasonable transition period for schools faced with higher fees, with increases </w:t>
            </w:r>
            <w:r w:rsidR="00C16062">
              <w:rPr>
                <w:rFonts w:ascii="Arial" w:hAnsi="Arial" w:cs="Arial"/>
              </w:rPr>
              <w:t>that</w:t>
            </w:r>
            <w:r w:rsidRPr="00AB1B20">
              <w:rPr>
                <w:rFonts w:ascii="Arial" w:hAnsi="Arial" w:cs="Arial"/>
              </w:rPr>
              <w:t xml:space="preserve"> are affordable by the schools concerned.</w:t>
            </w:r>
          </w:p>
          <w:p w14:paraId="0D93061D" w14:textId="77777777" w:rsidR="00027405" w:rsidRPr="00AB1B20" w:rsidRDefault="00027405" w:rsidP="00465FF9">
            <w:pPr>
              <w:rPr>
                <w:rFonts w:ascii="Arial" w:hAnsi="Arial" w:cs="Arial"/>
              </w:rPr>
            </w:pPr>
          </w:p>
        </w:tc>
      </w:tr>
      <w:tr w:rsidR="00B5200F" w:rsidRPr="00AB1B20" w14:paraId="616CFF5A" w14:textId="77777777" w:rsidTr="00BD5F61">
        <w:trPr>
          <w:trHeight w:val="1578"/>
        </w:trPr>
        <w:tc>
          <w:tcPr>
            <w:tcW w:w="8522" w:type="dxa"/>
            <w:shd w:val="clear" w:color="auto" w:fill="auto"/>
          </w:tcPr>
          <w:p w14:paraId="6EFAACED" w14:textId="77777777" w:rsidR="00936C94" w:rsidRPr="00AB1B20" w:rsidRDefault="00A163C2" w:rsidP="00E8036E">
            <w:pPr>
              <w:rPr>
                <w:rFonts w:ascii="Arial" w:hAnsi="Arial" w:cs="Arial"/>
                <w:b/>
              </w:rPr>
            </w:pPr>
            <w:r w:rsidRPr="00AB1B20">
              <w:rPr>
                <w:rFonts w:ascii="Arial" w:hAnsi="Arial" w:cs="Arial"/>
                <w:b/>
              </w:rPr>
              <w:t>V</w:t>
            </w:r>
            <w:r w:rsidR="00645FBB" w:rsidRPr="00AB1B20">
              <w:rPr>
                <w:rFonts w:ascii="Arial" w:hAnsi="Arial" w:cs="Arial"/>
                <w:b/>
              </w:rPr>
              <w:t>iable policy o</w:t>
            </w:r>
            <w:r w:rsidR="00B5200F" w:rsidRPr="00AB1B20">
              <w:rPr>
                <w:rFonts w:ascii="Arial" w:hAnsi="Arial" w:cs="Arial"/>
                <w:b/>
              </w:rPr>
              <w:t>ptions</w:t>
            </w:r>
            <w:r w:rsidR="005305F3" w:rsidRPr="00AB1B20">
              <w:rPr>
                <w:rFonts w:ascii="Arial" w:hAnsi="Arial" w:cs="Arial"/>
                <w:b/>
              </w:rPr>
              <w:t xml:space="preserve"> </w:t>
            </w:r>
            <w:r w:rsidR="00645FBB" w:rsidRPr="00AB1B20">
              <w:rPr>
                <w:rFonts w:ascii="Arial" w:hAnsi="Arial" w:cs="Arial"/>
                <w:b/>
              </w:rPr>
              <w:t>(</w:t>
            </w:r>
            <w:r w:rsidR="005305F3" w:rsidRPr="00AB1B20">
              <w:rPr>
                <w:rFonts w:ascii="Arial" w:hAnsi="Arial" w:cs="Arial"/>
                <w:b/>
              </w:rPr>
              <w:t>including alternatives to regulation)</w:t>
            </w:r>
          </w:p>
          <w:p w14:paraId="328D018C" w14:textId="35994D1B" w:rsidR="00936C94" w:rsidRPr="00AB1B20" w:rsidRDefault="00936C94" w:rsidP="00E8036E">
            <w:pPr>
              <w:rPr>
                <w:rFonts w:ascii="Arial" w:hAnsi="Arial" w:cs="Arial"/>
              </w:rPr>
            </w:pPr>
            <w:r w:rsidRPr="00AB1B20">
              <w:rPr>
                <w:rFonts w:ascii="Arial" w:hAnsi="Arial" w:cs="Arial"/>
              </w:rPr>
              <w:t>The options which have been considered include:</w:t>
            </w:r>
          </w:p>
          <w:p w14:paraId="0CAE8CBC" w14:textId="4D257F2F" w:rsidR="00781AC8" w:rsidRPr="00AB1B20" w:rsidRDefault="00936C94" w:rsidP="00E8036E">
            <w:pPr>
              <w:rPr>
                <w:rFonts w:ascii="Arial" w:hAnsi="Arial" w:cs="Arial"/>
              </w:rPr>
            </w:pPr>
            <w:r w:rsidRPr="00AB1B20">
              <w:rPr>
                <w:rFonts w:ascii="Arial" w:hAnsi="Arial" w:cs="Arial"/>
              </w:rPr>
              <w:t>1. leaving fee levels at those set in the current (2009) regulations;</w:t>
            </w:r>
          </w:p>
          <w:p w14:paraId="3A2524A2" w14:textId="3DFB2D20" w:rsidR="00936C94" w:rsidRPr="00AB1B20" w:rsidRDefault="00936C94" w:rsidP="00936C94">
            <w:pPr>
              <w:pStyle w:val="IATableLines"/>
              <w:ind w:left="0"/>
              <w:rPr>
                <w:rFonts w:cs="Arial"/>
                <w:sz w:val="24"/>
                <w:szCs w:val="24"/>
              </w:rPr>
            </w:pPr>
            <w:r w:rsidRPr="00AB1B20">
              <w:rPr>
                <w:rFonts w:cs="Arial"/>
                <w:sz w:val="24"/>
                <w:szCs w:val="24"/>
              </w:rPr>
              <w:t>2. raising fee levels as proposed and introducing new categories of inspection for which a fee may be charged.</w:t>
            </w:r>
          </w:p>
          <w:p w14:paraId="618B5ABE" w14:textId="77777777" w:rsidR="00936C94" w:rsidRPr="00AB1B20" w:rsidRDefault="00936C94" w:rsidP="00E8036E">
            <w:pPr>
              <w:rPr>
                <w:rFonts w:ascii="Arial" w:hAnsi="Arial" w:cs="Arial"/>
              </w:rPr>
            </w:pPr>
          </w:p>
          <w:p w14:paraId="087B6D30" w14:textId="00F60630" w:rsidR="00936C94" w:rsidRPr="00AB1B20" w:rsidRDefault="00936C94" w:rsidP="00936C94">
            <w:pPr>
              <w:pStyle w:val="IATableLines"/>
              <w:ind w:left="0"/>
              <w:rPr>
                <w:sz w:val="24"/>
                <w:szCs w:val="24"/>
              </w:rPr>
            </w:pPr>
            <w:r w:rsidRPr="00AB1B20">
              <w:rPr>
                <w:rFonts w:cs="Arial"/>
                <w:sz w:val="24"/>
                <w:szCs w:val="24"/>
              </w:rPr>
              <w:t>It is not considered that there is</w:t>
            </w:r>
            <w:r w:rsidRPr="00AB1B20">
              <w:rPr>
                <w:sz w:val="24"/>
                <w:szCs w:val="24"/>
              </w:rPr>
              <w:t xml:space="preserve"> any practicable alternative to regulation. Ofsted has no power to charge fees for inspection of independent schools except under the relevant regulations</w:t>
            </w:r>
            <w:r w:rsidR="00C45908" w:rsidRPr="00AB1B20">
              <w:rPr>
                <w:sz w:val="24"/>
                <w:szCs w:val="24"/>
              </w:rPr>
              <w:t>.</w:t>
            </w:r>
          </w:p>
          <w:p w14:paraId="19E781D8" w14:textId="54FC558F" w:rsidR="00B5200F" w:rsidRPr="00AB1B20" w:rsidRDefault="00B5200F" w:rsidP="00936C94">
            <w:pPr>
              <w:rPr>
                <w:rFonts w:ascii="Arial" w:hAnsi="Arial" w:cs="Arial"/>
                <w:b/>
              </w:rPr>
            </w:pPr>
          </w:p>
        </w:tc>
      </w:tr>
      <w:tr w:rsidR="00F10759" w:rsidRPr="00AB1B20" w14:paraId="5444C344" w14:textId="77777777" w:rsidTr="00BD5F61">
        <w:trPr>
          <w:trHeight w:val="1962"/>
        </w:trPr>
        <w:tc>
          <w:tcPr>
            <w:tcW w:w="8522" w:type="dxa"/>
            <w:shd w:val="clear" w:color="auto" w:fill="auto"/>
          </w:tcPr>
          <w:p w14:paraId="2D8D0F44" w14:textId="77777777" w:rsidR="00F10759" w:rsidRPr="00AB1B20" w:rsidRDefault="00F10759" w:rsidP="00F10759">
            <w:pPr>
              <w:rPr>
                <w:rFonts w:ascii="Arial" w:hAnsi="Arial" w:cs="Arial"/>
                <w:b/>
              </w:rPr>
            </w:pPr>
            <w:r w:rsidRPr="00AB1B20">
              <w:rPr>
                <w:rFonts w:ascii="Arial" w:hAnsi="Arial" w:cs="Arial"/>
                <w:b/>
              </w:rPr>
              <w:t>Initial assessment of impact on business</w:t>
            </w:r>
          </w:p>
          <w:p w14:paraId="178F68F1" w14:textId="77777777" w:rsidR="00F10759" w:rsidRPr="00AB1B20" w:rsidRDefault="00F10759" w:rsidP="00F10759">
            <w:pPr>
              <w:rPr>
                <w:rFonts w:ascii="Arial" w:hAnsi="Arial" w:cs="Arial"/>
                <w:b/>
              </w:rPr>
            </w:pPr>
          </w:p>
          <w:p w14:paraId="687CBE79" w14:textId="77777777" w:rsidR="00936C94" w:rsidRPr="00AB1B20" w:rsidRDefault="00936C94" w:rsidP="00936C94">
            <w:pPr>
              <w:pStyle w:val="EBBodyPara"/>
              <w:spacing w:after="0"/>
              <w:rPr>
                <w:sz w:val="24"/>
                <w:szCs w:val="24"/>
              </w:rPr>
            </w:pPr>
            <w:r w:rsidRPr="00AB1B20">
              <w:rPr>
                <w:sz w:val="24"/>
                <w:szCs w:val="24"/>
              </w:rPr>
              <w:t>This policy change will increase costs in four areas:</w:t>
            </w:r>
          </w:p>
          <w:p w14:paraId="14A4167B" w14:textId="77777777" w:rsidR="00936C94" w:rsidRPr="00AB1B20" w:rsidRDefault="00936C94" w:rsidP="00936C94">
            <w:pPr>
              <w:pStyle w:val="EBBodyPara"/>
              <w:spacing w:after="0"/>
              <w:rPr>
                <w:color w:val="FF0000"/>
                <w:sz w:val="24"/>
                <w:szCs w:val="24"/>
              </w:rPr>
            </w:pPr>
          </w:p>
          <w:p w14:paraId="75FF1D16" w14:textId="77777777" w:rsidR="00936C94" w:rsidRPr="00AB1B20" w:rsidRDefault="00936C94" w:rsidP="00936C94">
            <w:pPr>
              <w:pStyle w:val="EBBodyPara"/>
              <w:numPr>
                <w:ilvl w:val="0"/>
                <w:numId w:val="29"/>
              </w:numPr>
              <w:spacing w:after="0"/>
              <w:rPr>
                <w:sz w:val="24"/>
                <w:szCs w:val="24"/>
              </w:rPr>
            </w:pPr>
            <w:r w:rsidRPr="00AB1B20">
              <w:rPr>
                <w:sz w:val="24"/>
                <w:szCs w:val="24"/>
              </w:rPr>
              <w:t>Standard inspections (these check compliance with all the prescribed standards, and are normally carried out every three years on a schedule set by Ofsted)</w:t>
            </w:r>
          </w:p>
          <w:p w14:paraId="570BBBDE" w14:textId="77777777" w:rsidR="00936C94" w:rsidRPr="00AB1B20" w:rsidRDefault="00936C94" w:rsidP="00936C94">
            <w:pPr>
              <w:pStyle w:val="EBBodyPara"/>
              <w:numPr>
                <w:ilvl w:val="0"/>
                <w:numId w:val="29"/>
              </w:numPr>
              <w:spacing w:after="0"/>
              <w:rPr>
                <w:sz w:val="24"/>
                <w:szCs w:val="24"/>
              </w:rPr>
            </w:pPr>
            <w:r w:rsidRPr="00AB1B20">
              <w:rPr>
                <w:sz w:val="24"/>
                <w:szCs w:val="24"/>
              </w:rPr>
              <w:t>First standard inspections (this is simply the first standard inspection carried out at a school after registration, in its first year of operation. It is always done by Ofsted whichever group or association a school belongs to)</w:t>
            </w:r>
          </w:p>
          <w:p w14:paraId="78331C9F" w14:textId="77777777" w:rsidR="00936C94" w:rsidRPr="00AB1B20" w:rsidRDefault="00936C94" w:rsidP="00936C94">
            <w:pPr>
              <w:pStyle w:val="EBBodyPara"/>
              <w:numPr>
                <w:ilvl w:val="0"/>
                <w:numId w:val="29"/>
              </w:numPr>
              <w:spacing w:after="0"/>
              <w:rPr>
                <w:sz w:val="24"/>
                <w:szCs w:val="24"/>
              </w:rPr>
            </w:pPr>
            <w:r w:rsidRPr="00AB1B20">
              <w:rPr>
                <w:sz w:val="24"/>
                <w:szCs w:val="24"/>
              </w:rPr>
              <w:t>Progress monitoring inspections (these are to check whether standards previously found to be not met at an earlier inspection, are now met)</w:t>
            </w:r>
          </w:p>
          <w:p w14:paraId="5BDDEBF5" w14:textId="77777777" w:rsidR="00936C94" w:rsidRPr="00AB1B20" w:rsidRDefault="00936C94" w:rsidP="00936C94">
            <w:pPr>
              <w:pStyle w:val="EBBodyPara"/>
              <w:numPr>
                <w:ilvl w:val="0"/>
                <w:numId w:val="29"/>
              </w:numPr>
              <w:spacing w:after="0"/>
              <w:rPr>
                <w:sz w:val="24"/>
                <w:szCs w:val="24"/>
              </w:rPr>
            </w:pPr>
            <w:r w:rsidRPr="00AB1B20">
              <w:rPr>
                <w:sz w:val="24"/>
                <w:szCs w:val="24"/>
              </w:rPr>
              <w:t>Pre-registration inspections (these are carried out to determine whether a proposed new school is likely to meet the standards once it is open)</w:t>
            </w:r>
          </w:p>
          <w:p w14:paraId="6BB1FAEE" w14:textId="77777777" w:rsidR="00936C94" w:rsidRPr="00AB1B20" w:rsidRDefault="00936C94" w:rsidP="00936C94">
            <w:pPr>
              <w:pStyle w:val="EBBodyPara"/>
              <w:spacing w:after="0"/>
              <w:rPr>
                <w:sz w:val="24"/>
                <w:szCs w:val="24"/>
              </w:rPr>
            </w:pPr>
          </w:p>
          <w:p w14:paraId="25F47001" w14:textId="3FB96E62" w:rsidR="00936C94" w:rsidRPr="00AB1B20" w:rsidRDefault="00936C94" w:rsidP="00936C94">
            <w:pPr>
              <w:pStyle w:val="EBBodyPara"/>
              <w:spacing w:after="0"/>
              <w:rPr>
                <w:sz w:val="24"/>
                <w:szCs w:val="24"/>
              </w:rPr>
            </w:pPr>
            <w:r w:rsidRPr="00AB1B20">
              <w:rPr>
                <w:sz w:val="24"/>
                <w:szCs w:val="24"/>
              </w:rPr>
              <w:lastRenderedPageBreak/>
              <w:t>The cost</w:t>
            </w:r>
            <w:r w:rsidR="00C45908" w:rsidRPr="00AB1B20">
              <w:rPr>
                <w:sz w:val="24"/>
                <w:szCs w:val="24"/>
              </w:rPr>
              <w:t xml:space="preserve"> per annum to schools,</w:t>
            </w:r>
            <w:r w:rsidRPr="00AB1B20">
              <w:rPr>
                <w:sz w:val="24"/>
                <w:szCs w:val="24"/>
              </w:rPr>
              <w:t xml:space="preserve"> over 10 years</w:t>
            </w:r>
            <w:r w:rsidR="00C45908" w:rsidRPr="00AB1B20">
              <w:rPr>
                <w:sz w:val="24"/>
                <w:szCs w:val="24"/>
              </w:rPr>
              <w:t>,</w:t>
            </w:r>
            <w:r w:rsidR="00D63058" w:rsidRPr="00AB1B20">
              <w:rPr>
                <w:sz w:val="24"/>
                <w:szCs w:val="24"/>
              </w:rPr>
              <w:t xml:space="preserve"> range</w:t>
            </w:r>
            <w:r w:rsidR="00C45908" w:rsidRPr="00AB1B20">
              <w:rPr>
                <w:sz w:val="24"/>
                <w:szCs w:val="24"/>
              </w:rPr>
              <w:t>s</w:t>
            </w:r>
            <w:r w:rsidR="00D63058" w:rsidRPr="00AB1B20">
              <w:rPr>
                <w:sz w:val="24"/>
                <w:szCs w:val="24"/>
              </w:rPr>
              <w:t xml:space="preserve"> from £440,000 to £660,000 per year</w:t>
            </w:r>
            <w:r w:rsidRPr="00AB1B20">
              <w:rPr>
                <w:sz w:val="24"/>
                <w:szCs w:val="24"/>
              </w:rPr>
              <w:t>. We believe there will no associated one-off cost to schools.</w:t>
            </w:r>
          </w:p>
          <w:p w14:paraId="23ECF376" w14:textId="77777777" w:rsidR="00F10759" w:rsidRPr="00AB1B20" w:rsidRDefault="00F10759" w:rsidP="00F10759">
            <w:pPr>
              <w:pStyle w:val="Default"/>
            </w:pPr>
            <w:r w:rsidRPr="00AB1B20">
              <w:t xml:space="preserve"> </w:t>
            </w:r>
          </w:p>
        </w:tc>
      </w:tr>
      <w:tr w:rsidR="00F10759" w:rsidRPr="00AB1B20" w14:paraId="19A85DBA" w14:textId="77777777" w:rsidTr="00BD5F61">
        <w:trPr>
          <w:trHeight w:val="1954"/>
        </w:trPr>
        <w:tc>
          <w:tcPr>
            <w:tcW w:w="8522" w:type="dxa"/>
            <w:shd w:val="clear" w:color="auto" w:fill="auto"/>
          </w:tcPr>
          <w:p w14:paraId="487DB08D" w14:textId="67BC1B92" w:rsidR="00F8110F" w:rsidRPr="00AB1B20" w:rsidRDefault="00003DBE" w:rsidP="00F10759">
            <w:pPr>
              <w:rPr>
                <w:rFonts w:ascii="Arial" w:hAnsi="Arial" w:cs="Arial"/>
                <w:b/>
              </w:rPr>
            </w:pPr>
            <w:r w:rsidRPr="00AB1B20">
              <w:rPr>
                <w:rFonts w:ascii="Arial" w:hAnsi="Arial" w:cs="Arial"/>
                <w:b/>
              </w:rPr>
              <w:lastRenderedPageBreak/>
              <w:t>One-in, Three-out status</w:t>
            </w:r>
          </w:p>
          <w:p w14:paraId="18EAED16" w14:textId="77777777" w:rsidR="00F10759" w:rsidRPr="00AB1B20" w:rsidRDefault="00F10759" w:rsidP="00F10759">
            <w:pPr>
              <w:rPr>
                <w:rFonts w:ascii="Arial" w:hAnsi="Arial" w:cs="Arial"/>
                <w:b/>
              </w:rPr>
            </w:pPr>
          </w:p>
          <w:p w14:paraId="282F177C" w14:textId="51576472" w:rsidR="005E04F8" w:rsidRPr="00AB1B20" w:rsidRDefault="005E04F8" w:rsidP="005E04F8">
            <w:pPr>
              <w:rPr>
                <w:rFonts w:ascii="Arial" w:hAnsi="Arial" w:cs="Arial"/>
              </w:rPr>
            </w:pPr>
            <w:r w:rsidRPr="00AB1B20">
              <w:rPr>
                <w:rFonts w:ascii="Arial" w:hAnsi="Arial" w:cs="Arial"/>
              </w:rPr>
              <w:t>T</w:t>
            </w:r>
            <w:r w:rsidR="00F10759" w:rsidRPr="00AB1B20">
              <w:rPr>
                <w:rFonts w:ascii="Arial" w:hAnsi="Arial" w:cs="Arial"/>
              </w:rPr>
              <w:t xml:space="preserve">he proposal is </w:t>
            </w:r>
            <w:r w:rsidR="00D63058" w:rsidRPr="00AB1B20">
              <w:rPr>
                <w:rFonts w:ascii="Arial" w:hAnsi="Arial" w:cs="Arial"/>
              </w:rPr>
              <w:t xml:space="preserve">not </w:t>
            </w:r>
            <w:r w:rsidR="00003DBE" w:rsidRPr="00AB1B20">
              <w:rPr>
                <w:rFonts w:ascii="Arial" w:hAnsi="Arial" w:cs="Arial"/>
              </w:rPr>
              <w:t>within scope</w:t>
            </w:r>
            <w:r w:rsidR="00D63058" w:rsidRPr="00AB1B20">
              <w:rPr>
                <w:rFonts w:ascii="Arial" w:hAnsi="Arial" w:cs="Arial"/>
              </w:rPr>
              <w:t xml:space="preserve"> </w:t>
            </w:r>
            <w:r w:rsidR="00BA58F5" w:rsidRPr="00AB1B20">
              <w:rPr>
                <w:rFonts w:ascii="Arial" w:hAnsi="Arial" w:cs="Arial"/>
              </w:rPr>
              <w:t xml:space="preserve">of OI3O or the BIT, </w:t>
            </w:r>
            <w:r w:rsidR="00D63058" w:rsidRPr="00AB1B20">
              <w:rPr>
                <w:rFonts w:ascii="Arial" w:hAnsi="Arial" w:cs="Arial"/>
              </w:rPr>
              <w:t>because the measure is solely about moving to full cost recovery</w:t>
            </w:r>
            <w:r w:rsidR="00BA58F5" w:rsidRPr="00AB1B20">
              <w:rPr>
                <w:rFonts w:ascii="Arial" w:hAnsi="Arial" w:cs="Arial"/>
              </w:rPr>
              <w:t xml:space="preserve"> on existing fees</w:t>
            </w:r>
            <w:r w:rsidR="00D63058" w:rsidRPr="00AB1B20">
              <w:rPr>
                <w:rFonts w:ascii="Arial" w:hAnsi="Arial" w:cs="Arial"/>
              </w:rPr>
              <w:t>.</w:t>
            </w:r>
          </w:p>
          <w:p w14:paraId="31A4C863" w14:textId="0D27ADDF" w:rsidR="005E04F8" w:rsidRPr="00AB1B20" w:rsidRDefault="005E04F8" w:rsidP="005E04F8">
            <w:pPr>
              <w:rPr>
                <w:rFonts w:ascii="Arial" w:hAnsi="Arial" w:cs="Arial"/>
                <w:color w:val="FF0000"/>
              </w:rPr>
            </w:pPr>
          </w:p>
        </w:tc>
      </w:tr>
      <w:tr w:rsidR="00F10759" w:rsidRPr="00AB1B20" w14:paraId="36084791" w14:textId="77777777" w:rsidTr="00BD5F61">
        <w:trPr>
          <w:trHeight w:val="2295"/>
        </w:trPr>
        <w:tc>
          <w:tcPr>
            <w:tcW w:w="8522" w:type="dxa"/>
            <w:shd w:val="clear" w:color="auto" w:fill="auto"/>
          </w:tcPr>
          <w:p w14:paraId="6B20614A" w14:textId="77777777" w:rsidR="00F10759" w:rsidRPr="00AB1B20" w:rsidRDefault="00F10759" w:rsidP="00F10759">
            <w:pPr>
              <w:rPr>
                <w:rFonts w:ascii="Arial" w:hAnsi="Arial" w:cs="Arial"/>
                <w:b/>
              </w:rPr>
            </w:pPr>
            <w:r w:rsidRPr="00AB1B20">
              <w:rPr>
                <w:rFonts w:ascii="Arial" w:hAnsi="Arial" w:cs="Arial"/>
                <w:b/>
              </w:rPr>
              <w:t xml:space="preserve">Rationale for Triage rating </w:t>
            </w:r>
          </w:p>
          <w:p w14:paraId="544140FA" w14:textId="77777777" w:rsidR="009705BA" w:rsidRPr="00AB1B20" w:rsidRDefault="009705BA" w:rsidP="00F10759">
            <w:pPr>
              <w:rPr>
                <w:rFonts w:ascii="Arial" w:hAnsi="Arial" w:cs="Arial"/>
                <w:b/>
              </w:rPr>
            </w:pPr>
          </w:p>
          <w:p w14:paraId="12432C54" w14:textId="1E9517CF" w:rsidR="00F10759" w:rsidRPr="00AB1B20" w:rsidRDefault="00BA58F5" w:rsidP="00BA58F5">
            <w:pPr>
              <w:rPr>
                <w:rFonts w:ascii="Arial" w:hAnsi="Arial" w:cs="Arial"/>
              </w:rPr>
            </w:pPr>
            <w:r w:rsidRPr="00AB1B20">
              <w:rPr>
                <w:rFonts w:ascii="Arial" w:hAnsi="Arial" w:cs="Arial"/>
              </w:rPr>
              <w:t xml:space="preserve">This measure qualifies for the low-cost fast track route. </w:t>
            </w:r>
            <w:r w:rsidR="004F28A1" w:rsidRPr="00AB1B20">
              <w:rPr>
                <w:rFonts w:ascii="Arial" w:hAnsi="Arial" w:cs="Arial"/>
              </w:rPr>
              <w:t>The p</w:t>
            </w:r>
            <w:r w:rsidR="009705BA" w:rsidRPr="00AB1B20">
              <w:rPr>
                <w:rFonts w:ascii="Arial" w:hAnsi="Arial" w:cs="Arial"/>
              </w:rPr>
              <w:t xml:space="preserve">roposed changes </w:t>
            </w:r>
            <w:r w:rsidR="00D63058" w:rsidRPr="00AB1B20">
              <w:rPr>
                <w:rFonts w:ascii="Arial" w:hAnsi="Arial" w:cs="Arial"/>
              </w:rPr>
              <w:t>are unlikely to place significant burdens on independent scho</w:t>
            </w:r>
            <w:r w:rsidRPr="00AB1B20">
              <w:rPr>
                <w:rFonts w:ascii="Arial" w:hAnsi="Arial" w:cs="Arial"/>
              </w:rPr>
              <w:t xml:space="preserve">ols, with the estimated impact falling below £1m in the most expensive year. </w:t>
            </w:r>
          </w:p>
        </w:tc>
      </w:tr>
    </w:tbl>
    <w:p w14:paraId="76AE503A" w14:textId="77777777" w:rsidR="00D40AAE" w:rsidRPr="00AB1B20" w:rsidRDefault="00D40AAE" w:rsidP="00FB4C3D">
      <w:pPr>
        <w:spacing w:before="120" w:after="120"/>
        <w:rPr>
          <w:rFonts w:ascii="Arial" w:hAnsi="Arial" w:cs="Arial"/>
          <w:b/>
          <w:lang w:eastAsia="en-CA"/>
        </w:rPr>
        <w:sectPr w:rsidR="00D40AAE" w:rsidRPr="00AB1B20" w:rsidSect="00D40AAE">
          <w:type w:val="continuous"/>
          <w:pgSz w:w="11906" w:h="16838"/>
          <w:pgMar w:top="1440" w:right="1800" w:bottom="1440" w:left="1800" w:header="708" w:footer="708"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B05CCD" w:rsidRPr="00AB1B20" w14:paraId="38C22B5E" w14:textId="77777777" w:rsidTr="00BD5F61">
        <w:trPr>
          <w:trHeight w:val="70"/>
        </w:trPr>
        <w:tc>
          <w:tcPr>
            <w:tcW w:w="8522" w:type="dxa"/>
            <w:shd w:val="clear" w:color="auto" w:fill="auto"/>
          </w:tcPr>
          <w:p w14:paraId="1848B703" w14:textId="4A06B7A3" w:rsidR="00B05CCD" w:rsidRPr="00AB1B20" w:rsidRDefault="00B05CCD" w:rsidP="00BD5F61">
            <w:pPr>
              <w:spacing w:before="120" w:after="120"/>
              <w:rPr>
                <w:rFonts w:ascii="Arial" w:hAnsi="Arial" w:cs="Arial"/>
                <w:lang w:eastAsia="en-CA"/>
              </w:rPr>
            </w:pPr>
            <w:r w:rsidRPr="00AB1B20">
              <w:rPr>
                <w:rFonts w:ascii="Arial" w:hAnsi="Arial" w:cs="Arial"/>
                <w:b/>
                <w:lang w:eastAsia="en-CA"/>
              </w:rPr>
              <w:t>Departmental signoff (</w:t>
            </w:r>
            <w:r w:rsidR="007D173C" w:rsidRPr="00AB1B20">
              <w:rPr>
                <w:rFonts w:ascii="Arial" w:hAnsi="Arial" w:cs="Arial"/>
                <w:b/>
                <w:i/>
                <w:lang w:eastAsia="en-CA"/>
              </w:rPr>
              <w:t>SCS</w:t>
            </w:r>
            <w:r w:rsidRPr="00AB1B20">
              <w:rPr>
                <w:rFonts w:ascii="Arial" w:hAnsi="Arial" w:cs="Arial"/>
                <w:b/>
                <w:lang w:eastAsia="en-CA"/>
              </w:rPr>
              <w:t>):</w:t>
            </w:r>
            <w:r w:rsidR="002C641D">
              <w:rPr>
                <w:rFonts w:ascii="Arial" w:hAnsi="Arial" w:cs="Arial"/>
                <w:b/>
                <w:lang w:eastAsia="en-CA"/>
              </w:rPr>
              <w:t xml:space="preserve"> </w:t>
            </w:r>
            <w:r w:rsidR="00E27D48" w:rsidRPr="002C641D">
              <w:rPr>
                <w:rFonts w:ascii="Arial" w:hAnsi="Arial" w:cs="Arial"/>
                <w:lang w:eastAsia="en-CA"/>
              </w:rPr>
              <w:t>Peter Swift</w:t>
            </w:r>
            <w:r w:rsidR="007D173C" w:rsidRPr="00AB1B20">
              <w:rPr>
                <w:rFonts w:ascii="Arial" w:hAnsi="Arial" w:cs="Arial"/>
                <w:b/>
                <w:lang w:eastAsia="en-CA"/>
              </w:rPr>
              <w:t xml:space="preserve"> </w:t>
            </w:r>
            <w:r w:rsidRPr="00AB1B20">
              <w:rPr>
                <w:rFonts w:ascii="Arial" w:hAnsi="Arial" w:cs="Arial"/>
                <w:b/>
                <w:lang w:eastAsia="en-CA"/>
              </w:rPr>
              <w:t xml:space="preserve"> </w:t>
            </w:r>
            <w:r w:rsidR="00FB4C3D" w:rsidRPr="00AB1B20">
              <w:rPr>
                <w:rFonts w:ascii="Arial" w:hAnsi="Arial" w:cs="Arial"/>
                <w:lang w:eastAsia="en-CA"/>
              </w:rPr>
              <w:t xml:space="preserve"> </w:t>
            </w:r>
            <w:r w:rsidR="00FB4C3D" w:rsidRPr="00AB1B20">
              <w:rPr>
                <w:rFonts w:ascii="Arial" w:hAnsi="Arial" w:cs="Arial"/>
                <w:lang w:eastAsia="en-CA"/>
              </w:rPr>
              <w:tab/>
            </w:r>
            <w:r w:rsidR="00150A3E" w:rsidRPr="00AB1B20">
              <w:rPr>
                <w:rFonts w:ascii="Arial" w:hAnsi="Arial" w:cs="Arial"/>
                <w:lang w:eastAsia="en-CA"/>
              </w:rPr>
              <w:t xml:space="preserve">   </w:t>
            </w:r>
            <w:r w:rsidRPr="00AB1B20">
              <w:rPr>
                <w:rFonts w:ascii="Arial" w:hAnsi="Arial" w:cs="Arial"/>
                <w:lang w:eastAsia="en-CA"/>
              </w:rPr>
              <w:t xml:space="preserve">Date: </w:t>
            </w:r>
            <w:r w:rsidR="00E27D48">
              <w:rPr>
                <w:rFonts w:ascii="Arial" w:hAnsi="Arial" w:cs="Arial"/>
                <w:lang w:eastAsia="en-CA"/>
              </w:rPr>
              <w:t>9.3.17</w:t>
            </w:r>
          </w:p>
          <w:p w14:paraId="38A19DF8" w14:textId="77777777" w:rsidR="00FB4C3D" w:rsidRPr="00AB1B20" w:rsidRDefault="00FB4C3D" w:rsidP="00BD5F61">
            <w:pPr>
              <w:spacing w:before="120" w:after="120"/>
              <w:rPr>
                <w:rFonts w:ascii="Arial" w:hAnsi="Arial" w:cs="Arial"/>
                <w:lang w:eastAsia="en-CA"/>
              </w:rPr>
            </w:pPr>
          </w:p>
          <w:p w14:paraId="2B360F8F" w14:textId="2F303735" w:rsidR="00B05CCD" w:rsidRPr="00AB1B20" w:rsidRDefault="00B05CCD" w:rsidP="00BD5F61">
            <w:pPr>
              <w:spacing w:before="120" w:after="120"/>
              <w:rPr>
                <w:rFonts w:ascii="Arial" w:hAnsi="Arial" w:cs="Arial"/>
                <w:b/>
                <w:lang w:eastAsia="en-CA"/>
              </w:rPr>
            </w:pPr>
            <w:r w:rsidRPr="00AB1B20">
              <w:rPr>
                <w:rFonts w:ascii="Arial" w:hAnsi="Arial" w:cs="Arial"/>
                <w:b/>
                <w:lang w:eastAsia="en-CA"/>
              </w:rPr>
              <w:t>Economist signoff (</w:t>
            </w:r>
            <w:r w:rsidR="007D173C" w:rsidRPr="00AB1B20">
              <w:rPr>
                <w:rFonts w:ascii="Arial" w:hAnsi="Arial" w:cs="Arial"/>
                <w:b/>
                <w:i/>
                <w:lang w:eastAsia="en-CA"/>
              </w:rPr>
              <w:t>senior</w:t>
            </w:r>
            <w:r w:rsidR="00C603B0" w:rsidRPr="00AB1B20">
              <w:rPr>
                <w:rFonts w:ascii="Arial" w:hAnsi="Arial" w:cs="Arial"/>
                <w:b/>
                <w:i/>
                <w:lang w:eastAsia="en-CA"/>
              </w:rPr>
              <w:t xml:space="preserve"> </w:t>
            </w:r>
            <w:r w:rsidRPr="00AB1B20">
              <w:rPr>
                <w:rFonts w:ascii="Arial" w:hAnsi="Arial" w:cs="Arial"/>
                <w:b/>
                <w:i/>
                <w:lang w:eastAsia="en-CA"/>
              </w:rPr>
              <w:t>analyst</w:t>
            </w:r>
            <w:r w:rsidRPr="00AB1B20">
              <w:rPr>
                <w:rFonts w:ascii="Arial" w:hAnsi="Arial" w:cs="Arial"/>
                <w:b/>
                <w:lang w:eastAsia="en-CA"/>
              </w:rPr>
              <w:t xml:space="preserve">): </w:t>
            </w:r>
            <w:r w:rsidR="00E27D48">
              <w:rPr>
                <w:rFonts w:ascii="Arial" w:hAnsi="Arial" w:cs="Arial"/>
                <w:lang w:eastAsia="en-CA"/>
              </w:rPr>
              <w:t>Will Teager</w:t>
            </w:r>
            <w:r w:rsidR="00FB4C3D" w:rsidRPr="00AB1B20">
              <w:rPr>
                <w:rFonts w:ascii="Arial" w:hAnsi="Arial" w:cs="Arial"/>
                <w:b/>
                <w:lang w:eastAsia="en-CA"/>
              </w:rPr>
              <w:t xml:space="preserve"> </w:t>
            </w:r>
            <w:r w:rsidR="00FB4C3D" w:rsidRPr="00AB1B20">
              <w:rPr>
                <w:rFonts w:ascii="Arial" w:hAnsi="Arial" w:cs="Arial"/>
                <w:b/>
                <w:lang w:eastAsia="en-CA"/>
              </w:rPr>
              <w:tab/>
            </w:r>
            <w:r w:rsidR="00FB4C3D" w:rsidRPr="00AB1B20">
              <w:rPr>
                <w:rFonts w:ascii="Arial" w:hAnsi="Arial" w:cs="Arial"/>
                <w:b/>
                <w:lang w:eastAsia="en-CA"/>
              </w:rPr>
              <w:tab/>
            </w:r>
            <w:r w:rsidRPr="00AB1B20">
              <w:rPr>
                <w:rFonts w:ascii="Arial" w:hAnsi="Arial" w:cs="Arial"/>
                <w:lang w:eastAsia="en-CA"/>
              </w:rPr>
              <w:t xml:space="preserve">Date: </w:t>
            </w:r>
            <w:r w:rsidR="00E27D48">
              <w:rPr>
                <w:rFonts w:ascii="Arial" w:hAnsi="Arial" w:cs="Arial"/>
                <w:lang w:eastAsia="en-CA"/>
              </w:rPr>
              <w:t>10.3.17</w:t>
            </w:r>
          </w:p>
          <w:p w14:paraId="53FF99F8" w14:textId="77777777" w:rsidR="00445560" w:rsidRPr="00AB1B20" w:rsidRDefault="00445560" w:rsidP="00BD5F61">
            <w:pPr>
              <w:spacing w:before="120" w:after="120"/>
              <w:rPr>
                <w:rFonts w:ascii="Arial" w:hAnsi="Arial" w:cs="Arial"/>
                <w:lang w:eastAsia="en-CA"/>
              </w:rPr>
            </w:pPr>
          </w:p>
          <w:p w14:paraId="0FC2A1B4" w14:textId="00B3E19D" w:rsidR="00B05CCD" w:rsidRPr="00AB1B20" w:rsidRDefault="00445560" w:rsidP="00E27D48">
            <w:pPr>
              <w:spacing w:before="120" w:after="120"/>
              <w:rPr>
                <w:rFonts w:ascii="Arial" w:hAnsi="Arial" w:cs="Arial"/>
                <w:b/>
              </w:rPr>
            </w:pPr>
            <w:r w:rsidRPr="00AB1B20">
              <w:rPr>
                <w:rFonts w:ascii="Arial" w:hAnsi="Arial" w:cs="Arial"/>
                <w:b/>
                <w:lang w:eastAsia="en-CA"/>
              </w:rPr>
              <w:t xml:space="preserve">Better Regulation Unit signoff: </w:t>
            </w:r>
            <w:r w:rsidR="00E27D48">
              <w:rPr>
                <w:rFonts w:ascii="Arial" w:hAnsi="Arial" w:cs="Arial"/>
                <w:lang w:eastAsia="en-CA"/>
              </w:rPr>
              <w:t>Viv Clowes</w:t>
            </w:r>
            <w:r w:rsidRPr="00AB1B20">
              <w:rPr>
                <w:rFonts w:ascii="Arial" w:hAnsi="Arial" w:cs="Arial"/>
                <w:lang w:eastAsia="en-CA"/>
              </w:rPr>
              <w:t xml:space="preserve"> </w:t>
            </w:r>
            <w:r w:rsidR="00D40AAE" w:rsidRPr="00AB1B20">
              <w:rPr>
                <w:rFonts w:ascii="Arial" w:hAnsi="Arial" w:cs="Arial"/>
                <w:lang w:eastAsia="en-CA"/>
              </w:rPr>
              <w:tab/>
            </w:r>
            <w:r w:rsidR="00D40AAE" w:rsidRPr="00AB1B20">
              <w:rPr>
                <w:rFonts w:ascii="Arial" w:hAnsi="Arial" w:cs="Arial"/>
                <w:lang w:eastAsia="en-CA"/>
              </w:rPr>
              <w:tab/>
            </w:r>
            <w:r w:rsidR="00FB4C3D" w:rsidRPr="00AB1B20">
              <w:rPr>
                <w:rFonts w:ascii="Arial" w:hAnsi="Arial" w:cs="Arial"/>
                <w:lang w:eastAsia="en-CA"/>
              </w:rPr>
              <w:tab/>
            </w:r>
            <w:r w:rsidRPr="00AB1B20">
              <w:rPr>
                <w:rFonts w:ascii="Arial" w:hAnsi="Arial" w:cs="Arial"/>
                <w:lang w:eastAsia="en-CA"/>
              </w:rPr>
              <w:t xml:space="preserve">Date: </w:t>
            </w:r>
            <w:r w:rsidR="00E27D48">
              <w:rPr>
                <w:rFonts w:ascii="Arial" w:hAnsi="Arial" w:cs="Arial"/>
                <w:lang w:eastAsia="en-CA"/>
              </w:rPr>
              <w:t>10.3.17</w:t>
            </w:r>
          </w:p>
        </w:tc>
      </w:tr>
    </w:tbl>
    <w:p w14:paraId="0C0678BD" w14:textId="77777777" w:rsidR="00D40AAE" w:rsidRDefault="00D40AAE">
      <w:pPr>
        <w:rPr>
          <w:rFonts w:ascii="Arial" w:hAnsi="Arial" w:cs="Arial"/>
        </w:rPr>
        <w:sectPr w:rsidR="00D40AAE" w:rsidSect="00D40AAE">
          <w:type w:val="continuous"/>
          <w:pgSz w:w="11906" w:h="16838"/>
          <w:pgMar w:top="1440" w:right="1800" w:bottom="1440" w:left="1800" w:header="708" w:footer="708" w:gutter="0"/>
          <w:cols w:space="708"/>
          <w:docGrid w:linePitch="360"/>
        </w:sectPr>
      </w:pPr>
    </w:p>
    <w:p w14:paraId="6F5297FD" w14:textId="77777777" w:rsidR="00E8036E" w:rsidRPr="0037139F" w:rsidRDefault="00E8036E">
      <w:pPr>
        <w:rPr>
          <w:rFonts w:ascii="Arial" w:hAnsi="Arial" w:cs="Arial"/>
          <w:b/>
          <w:u w:val="single"/>
        </w:rPr>
      </w:pPr>
      <w:r w:rsidRPr="00B027BC">
        <w:rPr>
          <w:rFonts w:ascii="Arial" w:hAnsi="Arial" w:cs="Arial"/>
        </w:rPr>
        <w:br w:type="page"/>
      </w:r>
      <w:r w:rsidR="00BC5C44" w:rsidRPr="0037139F">
        <w:rPr>
          <w:rFonts w:ascii="Arial" w:hAnsi="Arial" w:cs="Arial"/>
          <w:b/>
          <w:u w:val="single"/>
        </w:rPr>
        <w:lastRenderedPageBreak/>
        <w:t>Supporting evidence</w:t>
      </w:r>
    </w:p>
    <w:p w14:paraId="4E9DC0FE" w14:textId="77777777" w:rsidR="00693990" w:rsidRPr="0037139F" w:rsidRDefault="00693990" w:rsidP="00C603B0">
      <w:pPr>
        <w:rPr>
          <w:rFonts w:ascii="Arial" w:hAnsi="Arial" w:cs="Arial"/>
        </w:rPr>
      </w:pPr>
    </w:p>
    <w:p w14:paraId="1501A253" w14:textId="77777777" w:rsidR="00C603B0" w:rsidRPr="0037139F" w:rsidRDefault="00C603B0" w:rsidP="00C03E2D">
      <w:pPr>
        <w:numPr>
          <w:ilvl w:val="0"/>
          <w:numId w:val="13"/>
        </w:numPr>
        <w:rPr>
          <w:rFonts w:ascii="Arial" w:hAnsi="Arial" w:cs="Arial"/>
          <w:b/>
        </w:rPr>
      </w:pPr>
      <w:r w:rsidRPr="0037139F">
        <w:rPr>
          <w:rFonts w:ascii="Arial" w:hAnsi="Arial" w:cs="Arial"/>
          <w:b/>
        </w:rPr>
        <w:t>The policy issue and rationale for Government intervention</w:t>
      </w:r>
    </w:p>
    <w:p w14:paraId="7ABCF9A7" w14:textId="77777777" w:rsidR="001A2D3D" w:rsidRPr="0037139F" w:rsidRDefault="001A2D3D" w:rsidP="001A2D3D">
      <w:pPr>
        <w:rPr>
          <w:rFonts w:ascii="Arial" w:hAnsi="Arial" w:cs="Arial"/>
          <w:b/>
        </w:rPr>
      </w:pPr>
    </w:p>
    <w:p w14:paraId="00506EAE" w14:textId="3E60E1B0" w:rsidR="00D63058" w:rsidRPr="0037139F" w:rsidRDefault="00D63058" w:rsidP="00D63058">
      <w:pPr>
        <w:pStyle w:val="DeptBullets"/>
        <w:numPr>
          <w:ilvl w:val="0"/>
          <w:numId w:val="0"/>
        </w:numPr>
        <w:spacing w:after="0"/>
        <w:rPr>
          <w:rFonts w:cs="Arial"/>
          <w:szCs w:val="24"/>
        </w:rPr>
      </w:pPr>
      <w:r w:rsidRPr="0037139F">
        <w:rPr>
          <w:rFonts w:cs="Arial"/>
          <w:szCs w:val="24"/>
        </w:rPr>
        <w:t xml:space="preserve">At present HMT rules require that fees charged by government bodies for inspections should recover the full cost of those inspections. However, although the cost of independent school inspection by Ofsted is around £4m per annum (2015), only around £0.75m of this cost is recovered. For example, for standard inspections of schools with 5 pupils only 15% is recovered (2016), for 50 pupils only 42% of costs, and for schools with 800 pupils only 59%. This </w:t>
      </w:r>
      <w:r w:rsidR="005344F6">
        <w:rPr>
          <w:rFonts w:cs="Arial"/>
          <w:szCs w:val="24"/>
        </w:rPr>
        <w:t xml:space="preserve">gap between fees and costs </w:t>
      </w:r>
      <w:r w:rsidRPr="0037139F">
        <w:rPr>
          <w:rFonts w:cs="Arial"/>
          <w:szCs w:val="24"/>
        </w:rPr>
        <w:t>is compounded by the fact the great majority of schools inspected by Ofsted are relatively small</w:t>
      </w:r>
      <w:r w:rsidR="005344F6">
        <w:rPr>
          <w:rFonts w:cs="Arial"/>
          <w:szCs w:val="24"/>
        </w:rPr>
        <w:t>, where the discrepancy is greatest</w:t>
      </w:r>
      <w:r w:rsidRPr="0037139F">
        <w:rPr>
          <w:rFonts w:cs="Arial"/>
          <w:szCs w:val="24"/>
        </w:rPr>
        <w:t>: nearly 60% of them have no more than 74 pupils and yet inspection costs for such schools are over 70% of the cost for the largest schools.</w:t>
      </w:r>
    </w:p>
    <w:p w14:paraId="28B2ADED" w14:textId="77777777" w:rsidR="00D63058" w:rsidRPr="0037139F" w:rsidRDefault="00D63058" w:rsidP="00D63058">
      <w:pPr>
        <w:pStyle w:val="DeptBullets"/>
        <w:numPr>
          <w:ilvl w:val="0"/>
          <w:numId w:val="0"/>
        </w:numPr>
        <w:spacing w:after="0"/>
        <w:rPr>
          <w:rFonts w:cs="Arial"/>
          <w:szCs w:val="24"/>
        </w:rPr>
      </w:pPr>
      <w:r w:rsidRPr="0037139F">
        <w:rPr>
          <w:rFonts w:cs="Arial"/>
          <w:szCs w:val="24"/>
        </w:rPr>
        <w:t xml:space="preserve"> </w:t>
      </w:r>
    </w:p>
    <w:p w14:paraId="69C73716" w14:textId="77777777" w:rsidR="00D63058" w:rsidRPr="0037139F" w:rsidRDefault="00D63058" w:rsidP="00D63058">
      <w:pPr>
        <w:rPr>
          <w:rFonts w:ascii="Arial" w:hAnsi="Arial" w:cs="Arial"/>
        </w:rPr>
      </w:pPr>
      <w:r w:rsidRPr="0037139F">
        <w:rPr>
          <w:rFonts w:ascii="Arial" w:hAnsi="Arial" w:cs="Arial"/>
        </w:rPr>
        <w:t>Government’s Spending Review 2015 settlement for Ofsted included making savings by moving towards full cost recovery, but moving too rapidly towards that might increase the number of schools unable to pay fees. At present only a small number of schools fall into that category each year. A school that does not pay inspection fees can be removed from the register of independent schools and if that happened, would have to close.</w:t>
      </w:r>
    </w:p>
    <w:p w14:paraId="7F908E4E" w14:textId="019DEBBE" w:rsidR="00D63058" w:rsidRPr="0037139F" w:rsidRDefault="00D63058" w:rsidP="00D63058">
      <w:pPr>
        <w:pStyle w:val="EBBodyPara"/>
        <w:keepNext/>
        <w:spacing w:after="0"/>
        <w:rPr>
          <w:color w:val="auto"/>
          <w:sz w:val="24"/>
          <w:szCs w:val="24"/>
        </w:rPr>
      </w:pPr>
    </w:p>
    <w:p w14:paraId="67B034DA" w14:textId="0D0694CF" w:rsidR="00D63058" w:rsidRPr="0037139F" w:rsidRDefault="00D63058" w:rsidP="00D63058">
      <w:pPr>
        <w:rPr>
          <w:rFonts w:ascii="Arial" w:hAnsi="Arial" w:cs="Arial"/>
        </w:rPr>
      </w:pPr>
      <w:r w:rsidRPr="0037139F">
        <w:rPr>
          <w:rFonts w:ascii="Arial" w:hAnsi="Arial" w:cs="Arial"/>
        </w:rPr>
        <w:t xml:space="preserve">The level of fees charged to independent schools for inspections carried out by Ofsted is set in </w:t>
      </w:r>
      <w:hyperlink r:id="rId8" w:history="1">
        <w:r w:rsidRPr="00C16062">
          <w:rPr>
            <w:rStyle w:val="Hyperlink"/>
            <w:rFonts w:ascii="Arial" w:hAnsi="Arial" w:cs="Arial"/>
            <w:u w:val="none"/>
          </w:rPr>
          <w:t>The Education (Independent Educational Provision in England) (Inspection Fees) Regulations 2009</w:t>
        </w:r>
      </w:hyperlink>
      <w:r w:rsidRPr="005344F6">
        <w:rPr>
          <w:rFonts w:ascii="Arial" w:hAnsi="Arial" w:cs="Arial"/>
        </w:rPr>
        <w:t xml:space="preserve"> (SI 2009/1607)</w:t>
      </w:r>
      <w:r w:rsidR="00C16062">
        <w:rPr>
          <w:rStyle w:val="FootnoteReference"/>
          <w:rFonts w:ascii="Arial" w:hAnsi="Arial" w:cs="Arial"/>
        </w:rPr>
        <w:footnoteReference w:id="1"/>
      </w:r>
      <w:r w:rsidRPr="005344F6">
        <w:rPr>
          <w:rFonts w:ascii="Arial" w:hAnsi="Arial" w:cs="Arial"/>
        </w:rPr>
        <w:t>.</w:t>
      </w:r>
      <w:r w:rsidR="00C87167">
        <w:rPr>
          <w:rFonts w:ascii="Arial" w:hAnsi="Arial" w:cs="Arial"/>
        </w:rPr>
        <w:t xml:space="preserve"> </w:t>
      </w:r>
      <w:r w:rsidRPr="0037139F">
        <w:rPr>
          <w:rFonts w:ascii="Arial" w:hAnsi="Arial" w:cs="Arial"/>
        </w:rPr>
        <w:t>The fee levels can only be changed via secondary legislation. The fee charging power is section 111 of the Education and Skills Act 2008.</w:t>
      </w:r>
    </w:p>
    <w:p w14:paraId="6DE88C66" w14:textId="77777777" w:rsidR="00D63058" w:rsidRPr="0037139F" w:rsidRDefault="00D63058" w:rsidP="00D63058">
      <w:pPr>
        <w:pStyle w:val="EBBodyPara"/>
        <w:keepNext/>
        <w:spacing w:after="0"/>
        <w:rPr>
          <w:color w:val="auto"/>
          <w:sz w:val="24"/>
          <w:szCs w:val="24"/>
        </w:rPr>
      </w:pPr>
    </w:p>
    <w:p w14:paraId="0D5F12E7" w14:textId="720EDE63" w:rsidR="00D63058" w:rsidRPr="0037139F" w:rsidRDefault="00D63058" w:rsidP="00D63058">
      <w:pPr>
        <w:pStyle w:val="EBBodyPara"/>
        <w:keepNext/>
        <w:spacing w:after="0"/>
        <w:rPr>
          <w:color w:val="auto"/>
          <w:sz w:val="24"/>
          <w:szCs w:val="24"/>
        </w:rPr>
      </w:pPr>
      <w:r w:rsidRPr="0037139F">
        <w:rPr>
          <w:color w:val="auto"/>
          <w:sz w:val="24"/>
          <w:szCs w:val="24"/>
        </w:rPr>
        <w:t>The driver for increasing the fees for standard inspections is the move towards full cost recovery</w:t>
      </w:r>
      <w:r w:rsidR="00C45908">
        <w:rPr>
          <w:color w:val="auto"/>
          <w:sz w:val="24"/>
          <w:szCs w:val="24"/>
        </w:rPr>
        <w:t>,</w:t>
      </w:r>
      <w:r w:rsidRPr="0037139F">
        <w:rPr>
          <w:color w:val="auto"/>
          <w:sz w:val="24"/>
          <w:szCs w:val="24"/>
        </w:rPr>
        <w:t xml:space="preserve"> which is balanced against an understanding that schools will require time to absorb the increases. Given the disparity between full cost recovery and existing fees, the percentage increase for the smallest schools would be very high indeed if full cost recovery was to be the immediate aim. </w:t>
      </w:r>
    </w:p>
    <w:p w14:paraId="1364E67C" w14:textId="77777777" w:rsidR="00D63058" w:rsidRPr="0037139F" w:rsidRDefault="00D63058" w:rsidP="00D63058">
      <w:pPr>
        <w:pStyle w:val="EBBodyPara"/>
        <w:keepNext/>
        <w:spacing w:after="0"/>
        <w:rPr>
          <w:color w:val="auto"/>
          <w:sz w:val="24"/>
          <w:szCs w:val="24"/>
        </w:rPr>
      </w:pPr>
    </w:p>
    <w:p w14:paraId="20EAF03A" w14:textId="6F09DD4F" w:rsidR="00D63058" w:rsidRPr="0037139F" w:rsidRDefault="00D63058" w:rsidP="00D63058">
      <w:pPr>
        <w:pStyle w:val="EBBodyPara"/>
        <w:keepNext/>
        <w:spacing w:after="0"/>
        <w:rPr>
          <w:color w:val="auto"/>
          <w:sz w:val="24"/>
          <w:szCs w:val="24"/>
        </w:rPr>
      </w:pPr>
      <w:r w:rsidRPr="0037139F">
        <w:rPr>
          <w:color w:val="auto"/>
          <w:sz w:val="24"/>
          <w:szCs w:val="24"/>
        </w:rPr>
        <w:t xml:space="preserve">However, the consequence of making only a gradual change towards full cost recovery with </w:t>
      </w:r>
      <w:r w:rsidR="00C87167">
        <w:rPr>
          <w:color w:val="auto"/>
          <w:sz w:val="24"/>
          <w:szCs w:val="24"/>
        </w:rPr>
        <w:t xml:space="preserve">increased </w:t>
      </w:r>
      <w:r w:rsidRPr="0037139F">
        <w:rPr>
          <w:color w:val="auto"/>
          <w:sz w:val="24"/>
          <w:szCs w:val="24"/>
        </w:rPr>
        <w:t>fees for standard inspections means that in order to meet the expectations underlying the settlement for Ofsted in Spending Review 2015, it is necessary to</w:t>
      </w:r>
      <w:r w:rsidR="00C87167">
        <w:rPr>
          <w:color w:val="auto"/>
          <w:sz w:val="24"/>
          <w:szCs w:val="24"/>
        </w:rPr>
        <w:t xml:space="preserve"> use other methods to</w:t>
      </w:r>
      <w:r w:rsidRPr="0037139F">
        <w:rPr>
          <w:color w:val="auto"/>
          <w:sz w:val="24"/>
          <w:szCs w:val="24"/>
        </w:rPr>
        <w:t xml:space="preserve"> achieve a higher overall recovery rate</w:t>
      </w:r>
      <w:r w:rsidR="00C45908">
        <w:rPr>
          <w:color w:val="auto"/>
          <w:sz w:val="24"/>
          <w:szCs w:val="24"/>
        </w:rPr>
        <w:t xml:space="preserve"> than the current one</w:t>
      </w:r>
      <w:r w:rsidRPr="0037139F">
        <w:rPr>
          <w:color w:val="auto"/>
          <w:sz w:val="24"/>
          <w:szCs w:val="24"/>
        </w:rPr>
        <w:t xml:space="preserve">. This </w:t>
      </w:r>
      <w:r w:rsidR="00C45908">
        <w:rPr>
          <w:color w:val="auto"/>
          <w:sz w:val="24"/>
          <w:szCs w:val="24"/>
        </w:rPr>
        <w:t>will be achieved</w:t>
      </w:r>
      <w:r w:rsidRPr="0037139F">
        <w:rPr>
          <w:color w:val="auto"/>
          <w:sz w:val="24"/>
          <w:szCs w:val="24"/>
        </w:rPr>
        <w:t xml:space="preserve"> by introducing additional categories of charge: for pre-registration inspections, first year standard inspections, and third progress monitoring inspections</w:t>
      </w:r>
      <w:r w:rsidRPr="0037139F">
        <w:rPr>
          <w:i/>
          <w:color w:val="auto"/>
          <w:sz w:val="24"/>
          <w:szCs w:val="24"/>
        </w:rPr>
        <w:t>.</w:t>
      </w:r>
      <w:r w:rsidRPr="0037139F">
        <w:rPr>
          <w:color w:val="auto"/>
          <w:sz w:val="24"/>
          <w:szCs w:val="24"/>
        </w:rPr>
        <w:t xml:space="preserve"> These categories of inspection arise only because of actions taken by the proprietor of the school, so are seen as justified on that account. Charges are not being introduced for emergency inspections</w:t>
      </w:r>
      <w:r w:rsidR="00C87167">
        <w:rPr>
          <w:color w:val="auto"/>
          <w:sz w:val="24"/>
          <w:szCs w:val="24"/>
        </w:rPr>
        <w:t xml:space="preserve"> because the need for those</w:t>
      </w:r>
      <w:r w:rsidR="005C16C5">
        <w:rPr>
          <w:color w:val="auto"/>
          <w:sz w:val="24"/>
          <w:szCs w:val="24"/>
        </w:rPr>
        <w:t xml:space="preserve"> is decided by the Department for Education,</w:t>
      </w:r>
      <w:r w:rsidRPr="0037139F">
        <w:rPr>
          <w:color w:val="auto"/>
          <w:sz w:val="24"/>
          <w:szCs w:val="24"/>
        </w:rPr>
        <w:t xml:space="preserve"> or material change inspections</w:t>
      </w:r>
      <w:r w:rsidR="005C16C5">
        <w:rPr>
          <w:color w:val="auto"/>
          <w:sz w:val="24"/>
          <w:szCs w:val="24"/>
        </w:rPr>
        <w:t>, for which there is no statutory power to charge.</w:t>
      </w:r>
    </w:p>
    <w:p w14:paraId="423A9D58" w14:textId="38D2DA51" w:rsidR="00C03E2D" w:rsidRDefault="00C03E2D" w:rsidP="00C03E2D">
      <w:pPr>
        <w:rPr>
          <w:rFonts w:ascii="Arial" w:hAnsi="Arial" w:cs="Arial"/>
        </w:rPr>
      </w:pPr>
    </w:p>
    <w:p w14:paraId="0C0E2AC6" w14:textId="77777777" w:rsidR="005C16C5" w:rsidRPr="0037139F" w:rsidRDefault="005C16C5" w:rsidP="00C03E2D">
      <w:pPr>
        <w:rPr>
          <w:rFonts w:ascii="Arial" w:hAnsi="Arial" w:cs="Arial"/>
        </w:rPr>
      </w:pPr>
    </w:p>
    <w:p w14:paraId="3A443C9B" w14:textId="77777777" w:rsidR="00C03E2D" w:rsidRPr="0037139F" w:rsidRDefault="00C03E2D" w:rsidP="00C03E2D">
      <w:pPr>
        <w:rPr>
          <w:rFonts w:ascii="Arial" w:hAnsi="Arial" w:cs="Arial"/>
        </w:rPr>
      </w:pPr>
    </w:p>
    <w:p w14:paraId="66D5CACA" w14:textId="77777777" w:rsidR="00C603B0" w:rsidRPr="0037139F" w:rsidRDefault="00C603B0" w:rsidP="00C03E2D">
      <w:pPr>
        <w:numPr>
          <w:ilvl w:val="0"/>
          <w:numId w:val="13"/>
        </w:numPr>
        <w:rPr>
          <w:rFonts w:ascii="Arial" w:hAnsi="Arial" w:cs="Arial"/>
          <w:b/>
        </w:rPr>
      </w:pPr>
      <w:r w:rsidRPr="0037139F">
        <w:rPr>
          <w:rFonts w:ascii="Arial" w:hAnsi="Arial" w:cs="Arial"/>
          <w:b/>
        </w:rPr>
        <w:lastRenderedPageBreak/>
        <w:t>Policy objectives and intended effects</w:t>
      </w:r>
    </w:p>
    <w:p w14:paraId="32D1A856" w14:textId="77777777" w:rsidR="00F54E60" w:rsidRPr="0037139F" w:rsidRDefault="00F54E60" w:rsidP="00F54E60">
      <w:pPr>
        <w:rPr>
          <w:rFonts w:ascii="Arial" w:hAnsi="Arial" w:cs="Arial"/>
          <w:b/>
        </w:rPr>
      </w:pPr>
    </w:p>
    <w:p w14:paraId="027480B0" w14:textId="6FA80F53" w:rsidR="0037139F" w:rsidRPr="0037139F" w:rsidRDefault="0037139F" w:rsidP="0037139F">
      <w:pPr>
        <w:rPr>
          <w:rFonts w:ascii="Arial" w:hAnsi="Arial" w:cs="Arial"/>
          <w:color w:val="1F497D"/>
        </w:rPr>
      </w:pPr>
      <w:r w:rsidRPr="0037139F">
        <w:rPr>
          <w:rFonts w:ascii="Arial" w:hAnsi="Arial" w:cs="Arial"/>
        </w:rPr>
        <w:t xml:space="preserve">The policy objective is to move closer to full cost recovery so that the public purse is not subsidising the maintenance of standards in the independent schools sector, </w:t>
      </w:r>
      <w:r w:rsidR="00C45908">
        <w:rPr>
          <w:rFonts w:ascii="Arial" w:hAnsi="Arial" w:cs="Arial"/>
        </w:rPr>
        <w:t xml:space="preserve">while </w:t>
      </w:r>
      <w:r w:rsidRPr="0037139F">
        <w:rPr>
          <w:rFonts w:ascii="Arial" w:hAnsi="Arial" w:cs="Arial"/>
        </w:rPr>
        <w:t xml:space="preserve">balancing that move with a reasonable transition period for schools. The transitional time will enable schools to appropriately budget (not least because many schools are small businesses and may not be able to absorb larger increases immediately). It would be a matter for each school to decide whether it wished to absorb the inspection fee increases to any extent, or pass them on either by including the higher costs in fees charged to parents, or in the case of pupils placed with the schools by local authorities, by increasing the fees charged to the local authorities concerned. Increases are proposed to commence in 2017-18. </w:t>
      </w:r>
    </w:p>
    <w:p w14:paraId="07F3E3DA" w14:textId="77777777" w:rsidR="00C03E2D" w:rsidRPr="0037139F" w:rsidRDefault="00C03E2D" w:rsidP="00C03E2D">
      <w:pPr>
        <w:rPr>
          <w:rFonts w:ascii="Arial" w:hAnsi="Arial" w:cs="Arial"/>
        </w:rPr>
      </w:pPr>
    </w:p>
    <w:p w14:paraId="0D103182" w14:textId="35AAD9AA" w:rsidR="00DD792B" w:rsidRPr="00BA0C0E" w:rsidRDefault="00DD792B" w:rsidP="00BA0C0E">
      <w:pPr>
        <w:rPr>
          <w:rFonts w:ascii="Arial" w:hAnsi="Arial" w:cs="Arial"/>
        </w:rPr>
      </w:pPr>
      <w:r>
        <w:rPr>
          <w:rFonts w:ascii="Arial" w:hAnsi="Arial" w:cs="Arial"/>
        </w:rPr>
        <w:t>The intended effect</w:t>
      </w:r>
      <w:r w:rsidR="00BA0C0E">
        <w:rPr>
          <w:rFonts w:ascii="Arial" w:hAnsi="Arial" w:cs="Arial"/>
        </w:rPr>
        <w:t xml:space="preserve"> is to </w:t>
      </w:r>
      <w:r w:rsidRPr="00BA0C0E">
        <w:rPr>
          <w:rFonts w:ascii="Arial" w:hAnsi="Arial" w:cs="Arial"/>
        </w:rPr>
        <w:t>achieve a higher overall recovery rate to meet the expectations underlying the settlement for Ofsted in Spending Review 2015.</w:t>
      </w:r>
    </w:p>
    <w:p w14:paraId="2A8635C0" w14:textId="77777777" w:rsidR="00CC450B" w:rsidRPr="0037139F" w:rsidRDefault="00CC450B" w:rsidP="00CC450B">
      <w:pPr>
        <w:rPr>
          <w:rFonts w:ascii="Arial" w:hAnsi="Arial" w:cs="Arial"/>
          <w:sz w:val="22"/>
          <w:szCs w:val="22"/>
        </w:rPr>
      </w:pPr>
    </w:p>
    <w:p w14:paraId="79C8C34A" w14:textId="77777777" w:rsidR="00CC450B" w:rsidRPr="00C603B0" w:rsidRDefault="00CC450B" w:rsidP="00CC450B">
      <w:pPr>
        <w:rPr>
          <w:rFonts w:ascii="Arial" w:hAnsi="Arial" w:cs="Arial"/>
        </w:rPr>
      </w:pPr>
    </w:p>
    <w:p w14:paraId="25F8E518" w14:textId="77777777" w:rsidR="00C03E2D" w:rsidRDefault="00C603B0" w:rsidP="00C03E2D">
      <w:pPr>
        <w:numPr>
          <w:ilvl w:val="0"/>
          <w:numId w:val="13"/>
        </w:numPr>
        <w:rPr>
          <w:rFonts w:ascii="Arial" w:hAnsi="Arial" w:cs="Arial"/>
          <w:b/>
        </w:rPr>
      </w:pPr>
      <w:r w:rsidRPr="006A00C5">
        <w:rPr>
          <w:rFonts w:ascii="Arial" w:hAnsi="Arial" w:cs="Arial"/>
          <w:b/>
        </w:rPr>
        <w:t xml:space="preserve">Policy options considered, including alternatives to </w:t>
      </w:r>
      <w:r w:rsidR="00C03E2D" w:rsidRPr="006A00C5">
        <w:rPr>
          <w:rFonts w:ascii="Arial" w:hAnsi="Arial" w:cs="Arial"/>
          <w:b/>
        </w:rPr>
        <w:t>regulation</w:t>
      </w:r>
    </w:p>
    <w:p w14:paraId="5879A342" w14:textId="77777777" w:rsidR="00F54E60" w:rsidRDefault="00F54E60" w:rsidP="00F54E60">
      <w:pPr>
        <w:rPr>
          <w:rFonts w:ascii="Arial" w:hAnsi="Arial" w:cs="Arial"/>
          <w:b/>
        </w:rPr>
      </w:pPr>
    </w:p>
    <w:p w14:paraId="4D78F723" w14:textId="0EB9F0CD" w:rsidR="00F54E60" w:rsidRDefault="00F54E60" w:rsidP="00F54E60">
      <w:pPr>
        <w:rPr>
          <w:rFonts w:ascii="Arial" w:hAnsi="Arial" w:cs="Arial"/>
        </w:rPr>
      </w:pPr>
      <w:r>
        <w:rPr>
          <w:rFonts w:ascii="Arial" w:hAnsi="Arial" w:cs="Arial"/>
        </w:rPr>
        <w:t xml:space="preserve">The first option </w:t>
      </w:r>
      <w:r w:rsidR="00606533">
        <w:rPr>
          <w:rFonts w:ascii="Arial" w:hAnsi="Arial" w:cs="Arial"/>
        </w:rPr>
        <w:t xml:space="preserve">is </w:t>
      </w:r>
      <w:r>
        <w:rPr>
          <w:rFonts w:ascii="Arial" w:hAnsi="Arial" w:cs="Arial"/>
        </w:rPr>
        <w:t xml:space="preserve">to </w:t>
      </w:r>
      <w:r w:rsidR="00DD792B">
        <w:rPr>
          <w:rFonts w:ascii="Arial" w:hAnsi="Arial" w:cs="Arial"/>
        </w:rPr>
        <w:t>leave the current level of fees unchanged. This would not allow us to recover the costs for Ofsted inspections and meet the settlement for Ofsted in the 2015 Spending Review.</w:t>
      </w:r>
    </w:p>
    <w:p w14:paraId="34ADE397" w14:textId="77777777" w:rsidR="00F54E60" w:rsidRDefault="00F54E60" w:rsidP="00F54E60">
      <w:pPr>
        <w:rPr>
          <w:rFonts w:ascii="Arial" w:hAnsi="Arial" w:cs="Arial"/>
        </w:rPr>
      </w:pPr>
    </w:p>
    <w:p w14:paraId="0E00E496" w14:textId="66CDAAD6" w:rsidR="00F54E60" w:rsidRDefault="00F54E60" w:rsidP="00F54E60">
      <w:pPr>
        <w:rPr>
          <w:rFonts w:ascii="Arial" w:hAnsi="Arial" w:cs="Arial"/>
        </w:rPr>
      </w:pPr>
      <w:r>
        <w:rPr>
          <w:rFonts w:ascii="Arial" w:hAnsi="Arial" w:cs="Arial"/>
        </w:rPr>
        <w:t xml:space="preserve">The second option would be to </w:t>
      </w:r>
      <w:r w:rsidR="007A693D">
        <w:rPr>
          <w:rFonts w:ascii="Arial" w:hAnsi="Arial" w:cs="Arial"/>
        </w:rPr>
        <w:t>implement the changes, as suggested</w:t>
      </w:r>
      <w:r>
        <w:rPr>
          <w:rFonts w:ascii="Arial" w:hAnsi="Arial" w:cs="Arial"/>
        </w:rPr>
        <w:t xml:space="preserve">. This would result in </w:t>
      </w:r>
      <w:r w:rsidR="00DD792B">
        <w:rPr>
          <w:rFonts w:ascii="Arial" w:hAnsi="Arial" w:cs="Arial"/>
        </w:rPr>
        <w:t>an increase in the costs recovered by Ofsted, without a large burden on Independent schools</w:t>
      </w:r>
      <w:r>
        <w:rPr>
          <w:rFonts w:ascii="Arial" w:hAnsi="Arial" w:cs="Arial"/>
        </w:rPr>
        <w:t>.</w:t>
      </w:r>
    </w:p>
    <w:p w14:paraId="68CEFE40" w14:textId="77777777" w:rsidR="00DD792B" w:rsidRDefault="00DD792B" w:rsidP="00C03E2D">
      <w:pPr>
        <w:rPr>
          <w:rFonts w:ascii="Arial" w:hAnsi="Arial" w:cs="Arial"/>
        </w:rPr>
      </w:pPr>
    </w:p>
    <w:p w14:paraId="02DC517E" w14:textId="571940AB" w:rsidR="005C1BE1" w:rsidRDefault="00C603B0" w:rsidP="00C03E2D">
      <w:pPr>
        <w:numPr>
          <w:ilvl w:val="0"/>
          <w:numId w:val="13"/>
        </w:numPr>
        <w:rPr>
          <w:rFonts w:ascii="Arial" w:hAnsi="Arial" w:cs="Arial"/>
          <w:b/>
        </w:rPr>
      </w:pPr>
      <w:r w:rsidRPr="006A00C5">
        <w:rPr>
          <w:rFonts w:ascii="Arial" w:hAnsi="Arial" w:cs="Arial"/>
          <w:b/>
        </w:rPr>
        <w:t xml:space="preserve">Expected level of </w:t>
      </w:r>
      <w:r w:rsidR="005C1BE1" w:rsidRPr="006A00C5">
        <w:rPr>
          <w:rFonts w:ascii="Arial" w:hAnsi="Arial" w:cs="Arial"/>
          <w:b/>
        </w:rPr>
        <w:t xml:space="preserve">business </w:t>
      </w:r>
      <w:r w:rsidRPr="006A00C5">
        <w:rPr>
          <w:rFonts w:ascii="Arial" w:hAnsi="Arial" w:cs="Arial"/>
          <w:b/>
        </w:rPr>
        <w:t xml:space="preserve">impact </w:t>
      </w:r>
      <w:r w:rsidR="00BA0C0E">
        <w:rPr>
          <w:rFonts w:ascii="Arial" w:hAnsi="Arial" w:cs="Arial"/>
          <w:b/>
        </w:rPr>
        <w:t>for the second option</w:t>
      </w:r>
    </w:p>
    <w:p w14:paraId="592F09AB" w14:textId="365E804D" w:rsidR="00D81FC6" w:rsidRDefault="00D81FC6" w:rsidP="00D81FC6">
      <w:pPr>
        <w:rPr>
          <w:rFonts w:ascii="Arial" w:hAnsi="Arial" w:cs="Arial"/>
          <w:b/>
        </w:rPr>
      </w:pPr>
    </w:p>
    <w:p w14:paraId="626CE695" w14:textId="4F314029" w:rsidR="00C16062" w:rsidRPr="00C16062" w:rsidRDefault="00C16062" w:rsidP="00C16062">
      <w:pPr>
        <w:rPr>
          <w:rFonts w:ascii="Arial" w:hAnsi="Arial" w:cs="Arial"/>
        </w:rPr>
      </w:pPr>
      <w:r>
        <w:rPr>
          <w:rFonts w:ascii="Arial" w:hAnsi="Arial" w:cs="Arial"/>
        </w:rPr>
        <w:t>Table 1 gives a s</w:t>
      </w:r>
      <w:r w:rsidRPr="00C16062">
        <w:rPr>
          <w:rFonts w:ascii="Arial" w:hAnsi="Arial" w:cs="Arial"/>
        </w:rPr>
        <w:t>ummary of</w:t>
      </w:r>
      <w:r>
        <w:rPr>
          <w:rFonts w:ascii="Arial" w:hAnsi="Arial" w:cs="Arial"/>
        </w:rPr>
        <w:t xml:space="preserve"> the additional costs to independent schools over</w:t>
      </w:r>
      <w:r w:rsidRPr="00C16062">
        <w:rPr>
          <w:rFonts w:ascii="Arial" w:hAnsi="Arial" w:cs="Arial"/>
        </w:rPr>
        <w:t xml:space="preserve"> 10 year</w:t>
      </w:r>
      <w:r>
        <w:rPr>
          <w:rFonts w:ascii="Arial" w:hAnsi="Arial" w:cs="Arial"/>
        </w:rPr>
        <w:t>s.</w:t>
      </w:r>
    </w:p>
    <w:p w14:paraId="3F799539" w14:textId="77777777" w:rsidR="00C16062" w:rsidRPr="00DD792B" w:rsidRDefault="00C16062" w:rsidP="00D81FC6">
      <w:pPr>
        <w:rPr>
          <w:rFonts w:ascii="Arial" w:hAnsi="Arial" w:cs="Arial"/>
          <w:b/>
        </w:rPr>
      </w:pPr>
    </w:p>
    <w:p w14:paraId="53D0956D" w14:textId="33CAF653" w:rsidR="00DD792B" w:rsidRPr="00DD792B" w:rsidRDefault="00DD792B" w:rsidP="00DD792B">
      <w:pPr>
        <w:pStyle w:val="EBBodyPara"/>
        <w:spacing w:after="0"/>
        <w:rPr>
          <w:sz w:val="24"/>
          <w:szCs w:val="24"/>
          <w:u w:val="single"/>
        </w:rPr>
      </w:pPr>
      <w:r w:rsidRPr="00DD792B">
        <w:rPr>
          <w:sz w:val="24"/>
          <w:szCs w:val="24"/>
          <w:u w:val="single"/>
        </w:rPr>
        <w:t xml:space="preserve">Table 1 </w:t>
      </w:r>
    </w:p>
    <w:tbl>
      <w:tblPr>
        <w:tblStyle w:val="TableGrid"/>
        <w:tblpPr w:leftFromText="180" w:rightFromText="180" w:vertAnchor="text" w:horzAnchor="page" w:tblpX="796" w:tblpY="215"/>
        <w:tblW w:w="5756" w:type="pct"/>
        <w:tblLook w:val="04A0" w:firstRow="1" w:lastRow="0" w:firstColumn="1" w:lastColumn="0" w:noHBand="0" w:noVBand="1"/>
      </w:tblPr>
      <w:tblGrid>
        <w:gridCol w:w="1488"/>
        <w:gridCol w:w="877"/>
        <w:gridCol w:w="877"/>
        <w:gridCol w:w="877"/>
        <w:gridCol w:w="877"/>
        <w:gridCol w:w="877"/>
        <w:gridCol w:w="877"/>
        <w:gridCol w:w="877"/>
        <w:gridCol w:w="877"/>
        <w:gridCol w:w="877"/>
        <w:gridCol w:w="999"/>
      </w:tblGrid>
      <w:tr w:rsidR="006B5D8B" w:rsidRPr="006B5D8B" w14:paraId="5196D4FA" w14:textId="77777777" w:rsidTr="00AB1B20">
        <w:trPr>
          <w:trHeight w:val="313"/>
        </w:trPr>
        <w:tc>
          <w:tcPr>
            <w:tcW w:w="717" w:type="pct"/>
            <w:noWrap/>
            <w:hideMark/>
          </w:tcPr>
          <w:p w14:paraId="3FE0EFF4" w14:textId="77777777" w:rsid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Costs (£m</w:t>
            </w:r>
            <w:r>
              <w:rPr>
                <w:rFonts w:ascii="Arial" w:hAnsi="Arial" w:cs="Arial"/>
                <w:b/>
                <w:bCs/>
                <w:color w:val="000000"/>
                <w:sz w:val="22"/>
                <w:szCs w:val="22"/>
              </w:rPr>
              <w:t>,</w:t>
            </w:r>
          </w:p>
          <w:p w14:paraId="77F412BA" w14:textId="2F147BDF" w:rsidR="006B5D8B" w:rsidRPr="006B5D8B" w:rsidRDefault="006B5D8B" w:rsidP="00AB1B20">
            <w:pPr>
              <w:rPr>
                <w:rFonts w:ascii="Arial" w:hAnsi="Arial" w:cs="Arial"/>
                <w:b/>
                <w:bCs/>
                <w:color w:val="000000"/>
                <w:sz w:val="22"/>
                <w:szCs w:val="22"/>
              </w:rPr>
            </w:pPr>
            <w:r>
              <w:rPr>
                <w:rFonts w:ascii="Arial" w:hAnsi="Arial" w:cs="Arial"/>
                <w:b/>
                <w:bCs/>
                <w:color w:val="000000"/>
                <w:sz w:val="22"/>
                <w:szCs w:val="22"/>
              </w:rPr>
              <w:t>2017 prices</w:t>
            </w:r>
            <w:r w:rsidRPr="006B5D8B">
              <w:rPr>
                <w:rFonts w:ascii="Arial" w:hAnsi="Arial" w:cs="Arial"/>
                <w:b/>
                <w:bCs/>
                <w:color w:val="000000"/>
                <w:sz w:val="22"/>
                <w:szCs w:val="22"/>
              </w:rPr>
              <w:t>)</w:t>
            </w:r>
          </w:p>
        </w:tc>
        <w:tc>
          <w:tcPr>
            <w:tcW w:w="422" w:type="pct"/>
            <w:noWrap/>
            <w:hideMark/>
          </w:tcPr>
          <w:p w14:paraId="697F511E"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1</w:t>
            </w:r>
          </w:p>
        </w:tc>
        <w:tc>
          <w:tcPr>
            <w:tcW w:w="422" w:type="pct"/>
            <w:noWrap/>
            <w:hideMark/>
          </w:tcPr>
          <w:p w14:paraId="5457ED4C"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2</w:t>
            </w:r>
          </w:p>
        </w:tc>
        <w:tc>
          <w:tcPr>
            <w:tcW w:w="422" w:type="pct"/>
            <w:noWrap/>
            <w:hideMark/>
          </w:tcPr>
          <w:p w14:paraId="4C37710C"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3</w:t>
            </w:r>
          </w:p>
        </w:tc>
        <w:tc>
          <w:tcPr>
            <w:tcW w:w="422" w:type="pct"/>
            <w:noWrap/>
            <w:hideMark/>
          </w:tcPr>
          <w:p w14:paraId="05F8BD8B"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4</w:t>
            </w:r>
          </w:p>
        </w:tc>
        <w:tc>
          <w:tcPr>
            <w:tcW w:w="422" w:type="pct"/>
            <w:noWrap/>
            <w:hideMark/>
          </w:tcPr>
          <w:p w14:paraId="328C2B5A"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5</w:t>
            </w:r>
          </w:p>
        </w:tc>
        <w:tc>
          <w:tcPr>
            <w:tcW w:w="422" w:type="pct"/>
            <w:noWrap/>
            <w:hideMark/>
          </w:tcPr>
          <w:p w14:paraId="4667FBD4"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6</w:t>
            </w:r>
          </w:p>
        </w:tc>
        <w:tc>
          <w:tcPr>
            <w:tcW w:w="422" w:type="pct"/>
            <w:noWrap/>
            <w:hideMark/>
          </w:tcPr>
          <w:p w14:paraId="1E34CF95"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7</w:t>
            </w:r>
          </w:p>
        </w:tc>
        <w:tc>
          <w:tcPr>
            <w:tcW w:w="422" w:type="pct"/>
            <w:noWrap/>
            <w:hideMark/>
          </w:tcPr>
          <w:p w14:paraId="6B0C3941"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8</w:t>
            </w:r>
          </w:p>
        </w:tc>
        <w:tc>
          <w:tcPr>
            <w:tcW w:w="422" w:type="pct"/>
            <w:noWrap/>
            <w:hideMark/>
          </w:tcPr>
          <w:p w14:paraId="4EFD604F"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9</w:t>
            </w:r>
          </w:p>
        </w:tc>
        <w:tc>
          <w:tcPr>
            <w:tcW w:w="481" w:type="pct"/>
            <w:noWrap/>
            <w:hideMark/>
          </w:tcPr>
          <w:p w14:paraId="69648D8A"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Year 10</w:t>
            </w:r>
          </w:p>
        </w:tc>
      </w:tr>
      <w:tr w:rsidR="006B5D8B" w:rsidRPr="006B5D8B" w14:paraId="3C17E624" w14:textId="77777777" w:rsidTr="00AB1B20">
        <w:trPr>
          <w:trHeight w:val="313"/>
        </w:trPr>
        <w:tc>
          <w:tcPr>
            <w:tcW w:w="717" w:type="pct"/>
            <w:hideMark/>
          </w:tcPr>
          <w:p w14:paraId="22755F9A" w14:textId="77777777" w:rsidR="006B5D8B" w:rsidRPr="006B5D8B" w:rsidRDefault="006B5D8B" w:rsidP="00AB1B20">
            <w:pPr>
              <w:rPr>
                <w:rFonts w:ascii="Arial" w:hAnsi="Arial" w:cs="Arial"/>
                <w:color w:val="000000"/>
                <w:sz w:val="22"/>
                <w:szCs w:val="22"/>
              </w:rPr>
            </w:pPr>
            <w:r w:rsidRPr="006B5D8B">
              <w:rPr>
                <w:rFonts w:ascii="Arial" w:hAnsi="Arial" w:cs="Arial"/>
                <w:color w:val="000000"/>
                <w:sz w:val="22"/>
                <w:szCs w:val="22"/>
              </w:rPr>
              <w:t>Standard Inspections</w:t>
            </w:r>
          </w:p>
        </w:tc>
        <w:tc>
          <w:tcPr>
            <w:tcW w:w="422" w:type="pct"/>
            <w:noWrap/>
            <w:hideMark/>
          </w:tcPr>
          <w:p w14:paraId="0BE15630"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0.25</w:t>
            </w:r>
          </w:p>
        </w:tc>
        <w:tc>
          <w:tcPr>
            <w:tcW w:w="422" w:type="pct"/>
            <w:noWrap/>
            <w:hideMark/>
          </w:tcPr>
          <w:p w14:paraId="5EB42E9A"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416CA881"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0.22</w:t>
            </w:r>
          </w:p>
        </w:tc>
        <w:tc>
          <w:tcPr>
            <w:tcW w:w="422" w:type="pct"/>
            <w:noWrap/>
            <w:hideMark/>
          </w:tcPr>
          <w:p w14:paraId="00893F8C"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0.23</w:t>
            </w:r>
          </w:p>
        </w:tc>
        <w:tc>
          <w:tcPr>
            <w:tcW w:w="422" w:type="pct"/>
            <w:noWrap/>
            <w:hideMark/>
          </w:tcPr>
          <w:p w14:paraId="2C5799CE"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0.23</w:t>
            </w:r>
          </w:p>
        </w:tc>
        <w:tc>
          <w:tcPr>
            <w:tcW w:w="422" w:type="pct"/>
            <w:noWrap/>
            <w:hideMark/>
          </w:tcPr>
          <w:p w14:paraId="37B4334D"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1720F08C"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0.25</w:t>
            </w:r>
          </w:p>
        </w:tc>
        <w:tc>
          <w:tcPr>
            <w:tcW w:w="422" w:type="pct"/>
            <w:noWrap/>
            <w:hideMark/>
          </w:tcPr>
          <w:p w14:paraId="65B8E54D"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0.25</w:t>
            </w:r>
          </w:p>
        </w:tc>
        <w:tc>
          <w:tcPr>
            <w:tcW w:w="422" w:type="pct"/>
            <w:noWrap/>
            <w:hideMark/>
          </w:tcPr>
          <w:p w14:paraId="0141AEE4"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0.26</w:t>
            </w:r>
          </w:p>
        </w:tc>
        <w:tc>
          <w:tcPr>
            <w:tcW w:w="481" w:type="pct"/>
            <w:noWrap/>
            <w:hideMark/>
          </w:tcPr>
          <w:p w14:paraId="4FDF143A"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0.26</w:t>
            </w:r>
          </w:p>
        </w:tc>
      </w:tr>
      <w:tr w:rsidR="006B5D8B" w:rsidRPr="006B5D8B" w14:paraId="503F53F7" w14:textId="77777777" w:rsidTr="00AB1B20">
        <w:trPr>
          <w:trHeight w:val="313"/>
        </w:trPr>
        <w:tc>
          <w:tcPr>
            <w:tcW w:w="717" w:type="pct"/>
            <w:hideMark/>
          </w:tcPr>
          <w:p w14:paraId="7BE4B5B0" w14:textId="77777777" w:rsidR="006B5D8B" w:rsidRPr="006B5D8B" w:rsidRDefault="006B5D8B" w:rsidP="00AB1B20">
            <w:pPr>
              <w:rPr>
                <w:rFonts w:ascii="Arial" w:hAnsi="Arial" w:cs="Arial"/>
                <w:color w:val="000000"/>
                <w:sz w:val="22"/>
                <w:szCs w:val="22"/>
              </w:rPr>
            </w:pPr>
            <w:r w:rsidRPr="006B5D8B">
              <w:rPr>
                <w:rFonts w:ascii="Arial" w:hAnsi="Arial" w:cs="Arial"/>
                <w:color w:val="000000"/>
                <w:sz w:val="22"/>
                <w:szCs w:val="22"/>
              </w:rPr>
              <w:t>First Standard Inspections</w:t>
            </w:r>
          </w:p>
        </w:tc>
        <w:tc>
          <w:tcPr>
            <w:tcW w:w="422" w:type="pct"/>
            <w:noWrap/>
            <w:hideMark/>
          </w:tcPr>
          <w:p w14:paraId="101B0D23"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0.08</w:t>
            </w:r>
          </w:p>
        </w:tc>
        <w:tc>
          <w:tcPr>
            <w:tcW w:w="422" w:type="pct"/>
            <w:noWrap/>
            <w:hideMark/>
          </w:tcPr>
          <w:p w14:paraId="78D3B647"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0.16</w:t>
            </w:r>
          </w:p>
        </w:tc>
        <w:tc>
          <w:tcPr>
            <w:tcW w:w="422" w:type="pct"/>
            <w:noWrap/>
            <w:hideMark/>
          </w:tcPr>
          <w:p w14:paraId="6D04B554"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68AD5B50"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5D94F962"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372FFEF7"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475525D1"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2898A5D5"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22" w:type="pct"/>
            <w:noWrap/>
            <w:hideMark/>
          </w:tcPr>
          <w:p w14:paraId="031EAD3B"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c>
          <w:tcPr>
            <w:tcW w:w="481" w:type="pct"/>
            <w:noWrap/>
            <w:hideMark/>
          </w:tcPr>
          <w:p w14:paraId="4AE86389"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0.24</w:t>
            </w:r>
          </w:p>
        </w:tc>
      </w:tr>
      <w:tr w:rsidR="006B5D8B" w:rsidRPr="006B5D8B" w14:paraId="3E2589D2" w14:textId="77777777" w:rsidTr="00AB1B20">
        <w:trPr>
          <w:trHeight w:val="313"/>
        </w:trPr>
        <w:tc>
          <w:tcPr>
            <w:tcW w:w="717" w:type="pct"/>
            <w:hideMark/>
          </w:tcPr>
          <w:p w14:paraId="2885095E" w14:textId="77777777" w:rsidR="006B5D8B" w:rsidRPr="006B5D8B" w:rsidRDefault="006B5D8B" w:rsidP="00AB1B20">
            <w:pPr>
              <w:rPr>
                <w:rFonts w:ascii="Arial" w:hAnsi="Arial" w:cs="Arial"/>
                <w:color w:val="000000"/>
                <w:sz w:val="22"/>
                <w:szCs w:val="22"/>
              </w:rPr>
            </w:pPr>
            <w:r w:rsidRPr="006B5D8B">
              <w:rPr>
                <w:rFonts w:ascii="Arial" w:hAnsi="Arial" w:cs="Arial"/>
                <w:color w:val="000000"/>
                <w:sz w:val="22"/>
                <w:szCs w:val="22"/>
              </w:rPr>
              <w:t>Progress Monitoring Inspections</w:t>
            </w:r>
          </w:p>
        </w:tc>
        <w:tc>
          <w:tcPr>
            <w:tcW w:w="422" w:type="pct"/>
            <w:noWrap/>
            <w:hideMark/>
          </w:tcPr>
          <w:p w14:paraId="12C51E70"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2F2D6683"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7BC26F6D"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6D399F82"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56A92241"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31940456"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1677203A"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731C0165"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22" w:type="pct"/>
            <w:noWrap/>
            <w:hideMark/>
          </w:tcPr>
          <w:p w14:paraId="146E85F7"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c>
          <w:tcPr>
            <w:tcW w:w="481" w:type="pct"/>
            <w:noWrap/>
            <w:hideMark/>
          </w:tcPr>
          <w:p w14:paraId="6F161B63"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0.01</w:t>
            </w:r>
          </w:p>
        </w:tc>
      </w:tr>
      <w:tr w:rsidR="006B5D8B" w:rsidRPr="006B5D8B" w14:paraId="4CF41F34" w14:textId="77777777" w:rsidTr="00AB1B20">
        <w:trPr>
          <w:trHeight w:val="313"/>
        </w:trPr>
        <w:tc>
          <w:tcPr>
            <w:tcW w:w="717" w:type="pct"/>
            <w:hideMark/>
          </w:tcPr>
          <w:p w14:paraId="412503A6" w14:textId="77777777" w:rsidR="006B5D8B" w:rsidRPr="006B5D8B" w:rsidRDefault="006B5D8B" w:rsidP="00AB1B20">
            <w:pPr>
              <w:rPr>
                <w:rFonts w:ascii="Arial" w:hAnsi="Arial" w:cs="Arial"/>
                <w:color w:val="000000"/>
                <w:sz w:val="22"/>
                <w:szCs w:val="22"/>
              </w:rPr>
            </w:pPr>
            <w:r w:rsidRPr="006B5D8B">
              <w:rPr>
                <w:rFonts w:ascii="Arial" w:hAnsi="Arial" w:cs="Arial"/>
                <w:color w:val="000000"/>
                <w:sz w:val="22"/>
                <w:szCs w:val="22"/>
              </w:rPr>
              <w:t>Pre-registration inspections</w:t>
            </w:r>
          </w:p>
        </w:tc>
        <w:tc>
          <w:tcPr>
            <w:tcW w:w="422" w:type="pct"/>
            <w:noWrap/>
            <w:hideMark/>
          </w:tcPr>
          <w:p w14:paraId="4409C049"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45228736"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58AA0286"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0D2FBBB4"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7B40A6E1"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7A4EF24E"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41B2A22E"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7D04A4AF"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22" w:type="pct"/>
            <w:noWrap/>
            <w:hideMark/>
          </w:tcPr>
          <w:p w14:paraId="362ED5F2"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c>
          <w:tcPr>
            <w:tcW w:w="481" w:type="pct"/>
            <w:noWrap/>
            <w:hideMark/>
          </w:tcPr>
          <w:p w14:paraId="3DD26EDE" w14:textId="77777777" w:rsidR="006B5D8B" w:rsidRPr="006B5D8B" w:rsidRDefault="006B5D8B" w:rsidP="00AB1B20">
            <w:pPr>
              <w:jc w:val="right"/>
              <w:rPr>
                <w:rFonts w:ascii="Arial" w:hAnsi="Arial" w:cs="Arial"/>
                <w:color w:val="000000"/>
                <w:sz w:val="22"/>
                <w:szCs w:val="22"/>
              </w:rPr>
            </w:pPr>
            <w:r w:rsidRPr="006B5D8B">
              <w:rPr>
                <w:rFonts w:ascii="Arial" w:hAnsi="Arial" w:cs="Arial"/>
                <w:color w:val="000000"/>
                <w:sz w:val="22"/>
                <w:szCs w:val="22"/>
              </w:rPr>
              <w:t>0.14</w:t>
            </w:r>
          </w:p>
        </w:tc>
      </w:tr>
      <w:tr w:rsidR="006B5D8B" w:rsidRPr="006B5D8B" w14:paraId="77B76FEB" w14:textId="77777777" w:rsidTr="00AB1B20">
        <w:trPr>
          <w:trHeight w:val="313"/>
        </w:trPr>
        <w:tc>
          <w:tcPr>
            <w:tcW w:w="717" w:type="pct"/>
            <w:hideMark/>
          </w:tcPr>
          <w:p w14:paraId="4C5DDE97" w14:textId="77777777" w:rsidR="006B5D8B" w:rsidRPr="006B5D8B" w:rsidRDefault="006B5D8B" w:rsidP="00AB1B20">
            <w:pPr>
              <w:rPr>
                <w:rFonts w:ascii="Arial" w:hAnsi="Arial" w:cs="Arial"/>
                <w:b/>
                <w:bCs/>
                <w:color w:val="000000"/>
                <w:sz w:val="22"/>
                <w:szCs w:val="22"/>
              </w:rPr>
            </w:pPr>
            <w:r w:rsidRPr="006B5D8B">
              <w:rPr>
                <w:rFonts w:ascii="Arial" w:hAnsi="Arial" w:cs="Arial"/>
                <w:b/>
                <w:bCs/>
                <w:color w:val="000000"/>
                <w:sz w:val="22"/>
                <w:szCs w:val="22"/>
              </w:rPr>
              <w:t>TOTAL</w:t>
            </w:r>
          </w:p>
        </w:tc>
        <w:tc>
          <w:tcPr>
            <w:tcW w:w="422" w:type="pct"/>
            <w:noWrap/>
            <w:hideMark/>
          </w:tcPr>
          <w:p w14:paraId="48311262"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0.48</w:t>
            </w:r>
          </w:p>
        </w:tc>
        <w:tc>
          <w:tcPr>
            <w:tcW w:w="422" w:type="pct"/>
            <w:noWrap/>
            <w:hideMark/>
          </w:tcPr>
          <w:p w14:paraId="1D9B170A"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0.55</w:t>
            </w:r>
          </w:p>
        </w:tc>
        <w:tc>
          <w:tcPr>
            <w:tcW w:w="422" w:type="pct"/>
            <w:noWrap/>
            <w:hideMark/>
          </w:tcPr>
          <w:p w14:paraId="61CFA183"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0.62</w:t>
            </w:r>
          </w:p>
        </w:tc>
        <w:tc>
          <w:tcPr>
            <w:tcW w:w="422" w:type="pct"/>
            <w:noWrap/>
            <w:hideMark/>
          </w:tcPr>
          <w:p w14:paraId="75741858"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0.62</w:t>
            </w:r>
          </w:p>
        </w:tc>
        <w:tc>
          <w:tcPr>
            <w:tcW w:w="422" w:type="pct"/>
            <w:noWrap/>
            <w:hideMark/>
          </w:tcPr>
          <w:p w14:paraId="01D6EE8B"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0.63</w:t>
            </w:r>
          </w:p>
        </w:tc>
        <w:tc>
          <w:tcPr>
            <w:tcW w:w="422" w:type="pct"/>
            <w:noWrap/>
            <w:hideMark/>
          </w:tcPr>
          <w:p w14:paraId="2D8A06AA"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0.63</w:t>
            </w:r>
          </w:p>
        </w:tc>
        <w:tc>
          <w:tcPr>
            <w:tcW w:w="422" w:type="pct"/>
            <w:noWrap/>
            <w:hideMark/>
          </w:tcPr>
          <w:p w14:paraId="232E7C22"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0.64</w:t>
            </w:r>
          </w:p>
        </w:tc>
        <w:tc>
          <w:tcPr>
            <w:tcW w:w="422" w:type="pct"/>
            <w:noWrap/>
            <w:hideMark/>
          </w:tcPr>
          <w:p w14:paraId="495CDCB3"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0.64</w:t>
            </w:r>
          </w:p>
        </w:tc>
        <w:tc>
          <w:tcPr>
            <w:tcW w:w="422" w:type="pct"/>
            <w:noWrap/>
            <w:hideMark/>
          </w:tcPr>
          <w:p w14:paraId="0A8B8949"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0.65</w:t>
            </w:r>
          </w:p>
        </w:tc>
        <w:tc>
          <w:tcPr>
            <w:tcW w:w="481" w:type="pct"/>
            <w:noWrap/>
            <w:hideMark/>
          </w:tcPr>
          <w:p w14:paraId="261E6939" w14:textId="77777777" w:rsidR="006B5D8B" w:rsidRPr="006B5D8B" w:rsidRDefault="006B5D8B" w:rsidP="00AB1B20">
            <w:pPr>
              <w:jc w:val="right"/>
              <w:rPr>
                <w:rFonts w:ascii="Arial" w:hAnsi="Arial" w:cs="Arial"/>
                <w:b/>
                <w:bCs/>
                <w:color w:val="000000"/>
                <w:sz w:val="22"/>
                <w:szCs w:val="22"/>
              </w:rPr>
            </w:pPr>
            <w:r w:rsidRPr="006B5D8B">
              <w:rPr>
                <w:rFonts w:ascii="Arial" w:hAnsi="Arial" w:cs="Arial"/>
                <w:b/>
                <w:bCs/>
                <w:color w:val="000000"/>
                <w:sz w:val="22"/>
                <w:szCs w:val="22"/>
              </w:rPr>
              <w:t>0.66</w:t>
            </w:r>
          </w:p>
        </w:tc>
      </w:tr>
    </w:tbl>
    <w:p w14:paraId="04014C8B" w14:textId="77777777" w:rsidR="00DD792B" w:rsidRPr="00DD792B" w:rsidRDefault="00DD792B" w:rsidP="00DD792B">
      <w:pPr>
        <w:pStyle w:val="EBBodyPara"/>
        <w:spacing w:after="0"/>
        <w:rPr>
          <w:sz w:val="24"/>
          <w:szCs w:val="24"/>
        </w:rPr>
      </w:pPr>
    </w:p>
    <w:p w14:paraId="45D97C04" w14:textId="77777777" w:rsidR="00DD792B" w:rsidRPr="00DD792B" w:rsidRDefault="00DD792B" w:rsidP="00DD792B">
      <w:pPr>
        <w:pStyle w:val="EBBodyPara"/>
        <w:spacing w:after="0"/>
        <w:rPr>
          <w:sz w:val="24"/>
          <w:szCs w:val="24"/>
        </w:rPr>
      </w:pPr>
    </w:p>
    <w:p w14:paraId="437777A6" w14:textId="77777777" w:rsidR="00DD792B" w:rsidRPr="00DD792B" w:rsidRDefault="00DD792B" w:rsidP="00DD792B">
      <w:pPr>
        <w:pStyle w:val="EBBodyPara"/>
        <w:spacing w:after="0"/>
        <w:ind w:left="360"/>
        <w:rPr>
          <w:sz w:val="24"/>
          <w:szCs w:val="24"/>
        </w:rPr>
      </w:pPr>
      <w:r w:rsidRPr="00DD792B">
        <w:rPr>
          <w:sz w:val="24"/>
          <w:szCs w:val="24"/>
        </w:rPr>
        <w:t xml:space="preserve"> </w:t>
      </w:r>
    </w:p>
    <w:p w14:paraId="5935FF1C" w14:textId="77777777" w:rsidR="00DD792B" w:rsidRPr="00DD792B" w:rsidRDefault="00DD792B" w:rsidP="00DD792B">
      <w:pPr>
        <w:pStyle w:val="EBBodyPara"/>
        <w:numPr>
          <w:ilvl w:val="0"/>
          <w:numId w:val="32"/>
        </w:numPr>
        <w:spacing w:after="0"/>
        <w:rPr>
          <w:sz w:val="24"/>
          <w:szCs w:val="24"/>
        </w:rPr>
      </w:pPr>
      <w:r w:rsidRPr="00DD792B">
        <w:rPr>
          <w:sz w:val="24"/>
          <w:szCs w:val="24"/>
        </w:rPr>
        <w:lastRenderedPageBreak/>
        <w:t>Standard inspections</w:t>
      </w:r>
    </w:p>
    <w:p w14:paraId="0788ACEB" w14:textId="77777777" w:rsidR="00DD792B" w:rsidRPr="00DD792B" w:rsidRDefault="00DD792B" w:rsidP="00DD792B">
      <w:pPr>
        <w:pStyle w:val="EBBodyPara"/>
        <w:spacing w:after="0"/>
        <w:ind w:left="360"/>
        <w:rPr>
          <w:sz w:val="24"/>
          <w:szCs w:val="24"/>
        </w:rPr>
      </w:pPr>
    </w:p>
    <w:p w14:paraId="2CEC64FB" w14:textId="3077A68B" w:rsidR="001327A2" w:rsidRDefault="00DD792B" w:rsidP="00DD792B">
      <w:pPr>
        <w:pStyle w:val="EBBodyPara"/>
        <w:spacing w:after="0"/>
        <w:rPr>
          <w:sz w:val="24"/>
          <w:szCs w:val="24"/>
        </w:rPr>
      </w:pPr>
      <w:r w:rsidRPr="00DD792B">
        <w:rPr>
          <w:sz w:val="24"/>
          <w:szCs w:val="24"/>
        </w:rPr>
        <w:t>The new costs under the proposed policy are</w:t>
      </w:r>
      <w:r w:rsidR="00A86E67">
        <w:rPr>
          <w:sz w:val="24"/>
          <w:szCs w:val="24"/>
        </w:rPr>
        <w:t xml:space="preserve"> calculated using data</w:t>
      </w:r>
      <w:r w:rsidR="00A86E67">
        <w:rPr>
          <w:rStyle w:val="FootnoteReference"/>
          <w:sz w:val="24"/>
          <w:szCs w:val="24"/>
        </w:rPr>
        <w:footnoteReference w:id="2"/>
      </w:r>
      <w:r w:rsidR="00A86E67">
        <w:rPr>
          <w:sz w:val="24"/>
          <w:szCs w:val="24"/>
        </w:rPr>
        <w:t xml:space="preserve"> </w:t>
      </w:r>
      <w:r w:rsidRPr="00DD792B">
        <w:rPr>
          <w:sz w:val="24"/>
          <w:szCs w:val="24"/>
        </w:rPr>
        <w:t>on independent schools and pupil numbers/age</w:t>
      </w:r>
      <w:r w:rsidR="00A86E67">
        <w:rPr>
          <w:sz w:val="24"/>
          <w:szCs w:val="24"/>
        </w:rPr>
        <w:t>s</w:t>
      </w:r>
      <w:r w:rsidRPr="00DD792B">
        <w:rPr>
          <w:sz w:val="24"/>
          <w:szCs w:val="24"/>
        </w:rPr>
        <w:t>.</w:t>
      </w:r>
      <w:r w:rsidR="00A86E67">
        <w:rPr>
          <w:sz w:val="24"/>
          <w:szCs w:val="24"/>
        </w:rPr>
        <w:t xml:space="preserve"> </w:t>
      </w:r>
      <w:r w:rsidR="001327A2">
        <w:rPr>
          <w:sz w:val="24"/>
          <w:szCs w:val="24"/>
        </w:rPr>
        <w:t>We have assumed a total of 1,0</w:t>
      </w:r>
      <w:r w:rsidR="00AB1B20">
        <w:rPr>
          <w:sz w:val="24"/>
          <w:szCs w:val="24"/>
        </w:rPr>
        <w:t>70</w:t>
      </w:r>
      <w:r w:rsidR="00A86E67">
        <w:rPr>
          <w:sz w:val="24"/>
          <w:szCs w:val="24"/>
        </w:rPr>
        <w:t xml:space="preserve"> independent schools </w:t>
      </w:r>
      <w:r w:rsidR="001327A2">
        <w:rPr>
          <w:sz w:val="24"/>
          <w:szCs w:val="24"/>
        </w:rPr>
        <w:t xml:space="preserve">are </w:t>
      </w:r>
      <w:r w:rsidR="00A86E67">
        <w:rPr>
          <w:sz w:val="24"/>
          <w:szCs w:val="24"/>
        </w:rPr>
        <w:t>inspected by Ofsted each year, adjusting for new schools opening (80) and other schools closing (57)</w:t>
      </w:r>
      <w:r w:rsidR="00BA0C0E">
        <w:rPr>
          <w:sz w:val="24"/>
          <w:szCs w:val="24"/>
        </w:rPr>
        <w:t xml:space="preserve"> in each year</w:t>
      </w:r>
      <w:r w:rsidR="00A86E67">
        <w:rPr>
          <w:sz w:val="24"/>
          <w:szCs w:val="24"/>
        </w:rPr>
        <w:t>.</w:t>
      </w:r>
      <w:r w:rsidRPr="00DD792B">
        <w:rPr>
          <w:sz w:val="24"/>
          <w:szCs w:val="24"/>
        </w:rPr>
        <w:t xml:space="preserve"> </w:t>
      </w:r>
      <w:r w:rsidR="001327A2">
        <w:rPr>
          <w:sz w:val="24"/>
          <w:szCs w:val="24"/>
        </w:rPr>
        <w:t>These numbers are based</w:t>
      </w:r>
      <w:r w:rsidR="00A86E67">
        <w:rPr>
          <w:sz w:val="24"/>
          <w:szCs w:val="24"/>
        </w:rPr>
        <w:t xml:space="preserve"> on the most up to date list of independent schools currently inspected by Ofsted, and </w:t>
      </w:r>
      <w:r w:rsidR="001327A2">
        <w:rPr>
          <w:sz w:val="24"/>
          <w:szCs w:val="24"/>
        </w:rPr>
        <w:t>last year’s figures of schools opening/closing</w:t>
      </w:r>
      <w:r w:rsidR="00A86E67">
        <w:rPr>
          <w:sz w:val="24"/>
          <w:szCs w:val="24"/>
        </w:rPr>
        <w:t>.</w:t>
      </w:r>
    </w:p>
    <w:p w14:paraId="039C7AFA" w14:textId="77777777" w:rsidR="002E4E6B" w:rsidRDefault="002E4E6B" w:rsidP="00DD792B">
      <w:pPr>
        <w:pStyle w:val="EBBodyPara"/>
        <w:spacing w:after="0"/>
        <w:rPr>
          <w:sz w:val="24"/>
          <w:szCs w:val="24"/>
        </w:rPr>
      </w:pPr>
    </w:p>
    <w:p w14:paraId="215E5B63" w14:textId="03EAAAF5" w:rsidR="00DD792B" w:rsidRPr="00DD792B" w:rsidRDefault="001327A2" w:rsidP="00DD792B">
      <w:pPr>
        <w:pStyle w:val="EBBodyPara"/>
        <w:spacing w:after="0"/>
        <w:rPr>
          <w:sz w:val="24"/>
          <w:szCs w:val="24"/>
        </w:rPr>
      </w:pPr>
      <w:r>
        <w:rPr>
          <w:sz w:val="24"/>
          <w:szCs w:val="24"/>
        </w:rPr>
        <w:t>T</w:t>
      </w:r>
      <w:r w:rsidR="00DD792B" w:rsidRPr="00DD792B">
        <w:rPr>
          <w:sz w:val="24"/>
          <w:szCs w:val="24"/>
        </w:rPr>
        <w:t>he cost of a standard inspection varies depending on the size of the school, with smaller schools paying a fixed fee plus a variable charge of £12 per pupil, and large schools paying only a fixed fee. Table 2 shows the costs that a school of varying size would face under the current and proposed costs. Table 3 gives a breakdown of the current and proposed cost components. The highest cost of £2,232 is charged to schools with 400 or more pupils, and this makes up 3% of the current population of independe</w:t>
      </w:r>
      <w:r w:rsidR="00BF7264">
        <w:rPr>
          <w:sz w:val="24"/>
          <w:szCs w:val="24"/>
        </w:rPr>
        <w:t>nt schools inspected by Ofsted.</w:t>
      </w:r>
    </w:p>
    <w:p w14:paraId="359DD6D1" w14:textId="6F1B80BE" w:rsidR="00DD792B" w:rsidRPr="00DD792B" w:rsidRDefault="00DD792B" w:rsidP="00DD792B">
      <w:pPr>
        <w:pStyle w:val="EBBodyPara"/>
        <w:spacing w:after="0"/>
        <w:rPr>
          <w:sz w:val="24"/>
          <w:szCs w:val="24"/>
        </w:rPr>
      </w:pPr>
    </w:p>
    <w:p w14:paraId="0346DD68" w14:textId="58C236D2" w:rsidR="00DD792B" w:rsidRDefault="00DD792B" w:rsidP="00DD792B">
      <w:pPr>
        <w:pStyle w:val="EBBodyPara"/>
        <w:spacing w:after="0"/>
        <w:rPr>
          <w:color w:val="auto"/>
          <w:sz w:val="24"/>
          <w:szCs w:val="24"/>
          <w:u w:val="single"/>
        </w:rPr>
      </w:pPr>
      <w:r w:rsidRPr="00DD792B">
        <w:rPr>
          <w:color w:val="auto"/>
          <w:sz w:val="24"/>
          <w:szCs w:val="24"/>
          <w:u w:val="single"/>
        </w:rPr>
        <w:t>Table 2</w:t>
      </w:r>
      <w:r w:rsidR="00BA0C0E">
        <w:rPr>
          <w:color w:val="auto"/>
          <w:sz w:val="24"/>
          <w:szCs w:val="24"/>
          <w:u w:val="single"/>
        </w:rPr>
        <w:t xml:space="preserve"> - Examples of current and proposed fees for schools of difference sizes</w:t>
      </w:r>
    </w:p>
    <w:p w14:paraId="2DBDFAEB" w14:textId="77777777" w:rsidR="00AB1B20" w:rsidRPr="00DD792B" w:rsidRDefault="00AB1B20" w:rsidP="00DD792B">
      <w:pPr>
        <w:pStyle w:val="EBBodyPara"/>
        <w:spacing w:after="0"/>
        <w:rPr>
          <w:color w:val="auto"/>
          <w:sz w:val="24"/>
          <w:szCs w:val="24"/>
          <w:u w:val="single"/>
        </w:rPr>
      </w:pPr>
    </w:p>
    <w:tbl>
      <w:tblPr>
        <w:tblStyle w:val="TableGrid"/>
        <w:tblW w:w="4403" w:type="dxa"/>
        <w:tblInd w:w="-5" w:type="dxa"/>
        <w:tblLook w:val="04A0" w:firstRow="1" w:lastRow="0" w:firstColumn="1" w:lastColumn="0" w:noHBand="0" w:noVBand="1"/>
      </w:tblPr>
      <w:tblGrid>
        <w:gridCol w:w="1920"/>
        <w:gridCol w:w="1160"/>
        <w:gridCol w:w="1323"/>
      </w:tblGrid>
      <w:tr w:rsidR="00DD792B" w:rsidRPr="00DD792B" w14:paraId="0D8EAC48" w14:textId="77777777" w:rsidTr="00AB1B20">
        <w:trPr>
          <w:trHeight w:val="285"/>
        </w:trPr>
        <w:tc>
          <w:tcPr>
            <w:tcW w:w="1920" w:type="dxa"/>
            <w:noWrap/>
            <w:hideMark/>
          </w:tcPr>
          <w:p w14:paraId="50A88B37" w14:textId="77777777" w:rsidR="00DD792B" w:rsidRPr="00DD792B" w:rsidRDefault="00DD792B" w:rsidP="00A86E67">
            <w:pPr>
              <w:rPr>
                <w:rFonts w:ascii="Arial" w:hAnsi="Arial" w:cs="Arial"/>
                <w:b/>
                <w:bCs/>
                <w:color w:val="000000"/>
              </w:rPr>
            </w:pPr>
            <w:r w:rsidRPr="00DD792B">
              <w:rPr>
                <w:rFonts w:ascii="Arial" w:hAnsi="Arial" w:cs="Arial"/>
                <w:b/>
                <w:bCs/>
                <w:color w:val="000000"/>
              </w:rPr>
              <w:t>No. of pupils on roll</w:t>
            </w:r>
          </w:p>
        </w:tc>
        <w:tc>
          <w:tcPr>
            <w:tcW w:w="1160" w:type="dxa"/>
            <w:noWrap/>
            <w:hideMark/>
          </w:tcPr>
          <w:p w14:paraId="6CF18BCE" w14:textId="77777777" w:rsidR="00DD792B" w:rsidRPr="00DD792B" w:rsidRDefault="00DD792B" w:rsidP="00A86E67">
            <w:pPr>
              <w:rPr>
                <w:rFonts w:ascii="Arial" w:hAnsi="Arial" w:cs="Arial"/>
                <w:b/>
                <w:bCs/>
                <w:color w:val="000000"/>
              </w:rPr>
            </w:pPr>
            <w:r w:rsidRPr="00DD792B">
              <w:rPr>
                <w:rFonts w:ascii="Arial" w:hAnsi="Arial" w:cs="Arial"/>
                <w:b/>
                <w:bCs/>
                <w:color w:val="000000"/>
              </w:rPr>
              <w:t>Current cost</w:t>
            </w:r>
          </w:p>
        </w:tc>
        <w:tc>
          <w:tcPr>
            <w:tcW w:w="1323" w:type="dxa"/>
            <w:noWrap/>
            <w:hideMark/>
          </w:tcPr>
          <w:p w14:paraId="098D51FA" w14:textId="77777777" w:rsidR="00DD792B" w:rsidRPr="00DD792B" w:rsidRDefault="00DD792B" w:rsidP="00A86E67">
            <w:pPr>
              <w:rPr>
                <w:rFonts w:ascii="Arial" w:hAnsi="Arial" w:cs="Arial"/>
                <w:b/>
                <w:bCs/>
                <w:color w:val="000000"/>
              </w:rPr>
            </w:pPr>
            <w:r w:rsidRPr="00DD792B">
              <w:rPr>
                <w:rFonts w:ascii="Arial" w:hAnsi="Arial" w:cs="Arial"/>
                <w:b/>
                <w:bCs/>
                <w:color w:val="000000"/>
              </w:rPr>
              <w:t>Proposed cost</w:t>
            </w:r>
          </w:p>
        </w:tc>
      </w:tr>
      <w:tr w:rsidR="00DD792B" w:rsidRPr="00DD792B" w14:paraId="0008F711" w14:textId="77777777" w:rsidTr="00AB1B20">
        <w:trPr>
          <w:trHeight w:val="285"/>
        </w:trPr>
        <w:tc>
          <w:tcPr>
            <w:tcW w:w="1920" w:type="dxa"/>
            <w:noWrap/>
            <w:hideMark/>
          </w:tcPr>
          <w:p w14:paraId="3573EC12"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50</w:t>
            </w:r>
          </w:p>
        </w:tc>
        <w:tc>
          <w:tcPr>
            <w:tcW w:w="1160" w:type="dxa"/>
            <w:noWrap/>
            <w:hideMark/>
          </w:tcPr>
          <w:p w14:paraId="3B3444EF" w14:textId="77777777" w:rsidR="00DD792B" w:rsidRPr="00DD792B" w:rsidRDefault="00DD792B" w:rsidP="00A86E67">
            <w:pPr>
              <w:jc w:val="right"/>
              <w:rPr>
                <w:rFonts w:ascii="Arial" w:hAnsi="Arial" w:cs="Arial"/>
                <w:color w:val="000000"/>
              </w:rPr>
            </w:pPr>
            <w:r w:rsidRPr="00DD792B">
              <w:rPr>
                <w:rFonts w:ascii="Arial" w:hAnsi="Arial" w:cs="Arial"/>
                <w:color w:val="000000"/>
              </w:rPr>
              <w:t>£650</w:t>
            </w:r>
          </w:p>
        </w:tc>
        <w:tc>
          <w:tcPr>
            <w:tcW w:w="1323" w:type="dxa"/>
            <w:noWrap/>
            <w:hideMark/>
          </w:tcPr>
          <w:p w14:paraId="5F4548DC" w14:textId="77777777" w:rsidR="00DD792B" w:rsidRPr="00DD792B" w:rsidRDefault="00DD792B" w:rsidP="00A86E67">
            <w:pPr>
              <w:jc w:val="right"/>
              <w:rPr>
                <w:rFonts w:ascii="Arial" w:hAnsi="Arial" w:cs="Arial"/>
                <w:color w:val="000000"/>
              </w:rPr>
            </w:pPr>
            <w:r w:rsidRPr="00DD792B">
              <w:rPr>
                <w:rFonts w:ascii="Arial" w:hAnsi="Arial" w:cs="Arial"/>
                <w:color w:val="000000"/>
              </w:rPr>
              <w:t>£900</w:t>
            </w:r>
          </w:p>
        </w:tc>
      </w:tr>
      <w:tr w:rsidR="00DD792B" w:rsidRPr="00DD792B" w14:paraId="39756AF3" w14:textId="77777777" w:rsidTr="00AB1B20">
        <w:trPr>
          <w:trHeight w:val="285"/>
        </w:trPr>
        <w:tc>
          <w:tcPr>
            <w:tcW w:w="1920" w:type="dxa"/>
            <w:noWrap/>
            <w:hideMark/>
          </w:tcPr>
          <w:p w14:paraId="72FB042A"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100</w:t>
            </w:r>
          </w:p>
        </w:tc>
        <w:tc>
          <w:tcPr>
            <w:tcW w:w="1160" w:type="dxa"/>
            <w:noWrap/>
            <w:hideMark/>
          </w:tcPr>
          <w:p w14:paraId="22DBB9EB" w14:textId="77777777" w:rsidR="00DD792B" w:rsidRPr="00DD792B" w:rsidRDefault="00DD792B" w:rsidP="00A86E67">
            <w:pPr>
              <w:jc w:val="right"/>
              <w:rPr>
                <w:rFonts w:ascii="Arial" w:hAnsi="Arial" w:cs="Arial"/>
                <w:color w:val="000000"/>
              </w:rPr>
            </w:pPr>
            <w:r w:rsidRPr="00DD792B">
              <w:rPr>
                <w:rFonts w:ascii="Arial" w:hAnsi="Arial" w:cs="Arial"/>
                <w:color w:val="000000"/>
              </w:rPr>
              <w:t>£1,100</w:t>
            </w:r>
          </w:p>
        </w:tc>
        <w:tc>
          <w:tcPr>
            <w:tcW w:w="1323" w:type="dxa"/>
            <w:noWrap/>
            <w:hideMark/>
          </w:tcPr>
          <w:p w14:paraId="62783AD2" w14:textId="77777777" w:rsidR="00DD792B" w:rsidRPr="00DD792B" w:rsidRDefault="00DD792B" w:rsidP="00A86E67">
            <w:pPr>
              <w:jc w:val="right"/>
              <w:rPr>
                <w:rFonts w:ascii="Arial" w:hAnsi="Arial" w:cs="Arial"/>
                <w:color w:val="000000"/>
              </w:rPr>
            </w:pPr>
            <w:r w:rsidRPr="00DD792B">
              <w:rPr>
                <w:rFonts w:ascii="Arial" w:hAnsi="Arial" w:cs="Arial"/>
                <w:color w:val="000000"/>
              </w:rPr>
              <w:t>£1,475</w:t>
            </w:r>
          </w:p>
        </w:tc>
      </w:tr>
      <w:tr w:rsidR="00DD792B" w:rsidRPr="00DD792B" w14:paraId="4C40E338" w14:textId="77777777" w:rsidTr="00AB1B20">
        <w:trPr>
          <w:trHeight w:val="285"/>
        </w:trPr>
        <w:tc>
          <w:tcPr>
            <w:tcW w:w="1920" w:type="dxa"/>
            <w:noWrap/>
            <w:hideMark/>
          </w:tcPr>
          <w:p w14:paraId="6894ABE4"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150</w:t>
            </w:r>
          </w:p>
        </w:tc>
        <w:tc>
          <w:tcPr>
            <w:tcW w:w="1160" w:type="dxa"/>
            <w:noWrap/>
            <w:hideMark/>
          </w:tcPr>
          <w:p w14:paraId="2A932BD6" w14:textId="77777777" w:rsidR="00DD792B" w:rsidRPr="00DD792B" w:rsidRDefault="00DD792B" w:rsidP="00A86E67">
            <w:pPr>
              <w:jc w:val="right"/>
              <w:rPr>
                <w:rFonts w:ascii="Arial" w:hAnsi="Arial" w:cs="Arial"/>
                <w:color w:val="000000"/>
              </w:rPr>
            </w:pPr>
            <w:r w:rsidRPr="00DD792B">
              <w:rPr>
                <w:rFonts w:ascii="Arial" w:hAnsi="Arial" w:cs="Arial"/>
                <w:color w:val="000000"/>
              </w:rPr>
              <w:t>£1,550</w:t>
            </w:r>
          </w:p>
        </w:tc>
        <w:tc>
          <w:tcPr>
            <w:tcW w:w="1323" w:type="dxa"/>
            <w:noWrap/>
            <w:hideMark/>
          </w:tcPr>
          <w:p w14:paraId="6B057AB2" w14:textId="77777777" w:rsidR="00DD792B" w:rsidRPr="00DD792B" w:rsidRDefault="00DD792B" w:rsidP="00A86E67">
            <w:pPr>
              <w:jc w:val="right"/>
              <w:rPr>
                <w:rFonts w:ascii="Arial" w:hAnsi="Arial" w:cs="Arial"/>
                <w:color w:val="000000"/>
              </w:rPr>
            </w:pPr>
            <w:r w:rsidRPr="00DD792B">
              <w:rPr>
                <w:rFonts w:ascii="Arial" w:hAnsi="Arial" w:cs="Arial"/>
                <w:color w:val="000000"/>
              </w:rPr>
              <w:t>£1,835</w:t>
            </w:r>
          </w:p>
        </w:tc>
      </w:tr>
      <w:tr w:rsidR="00DD792B" w:rsidRPr="00DD792B" w14:paraId="1B77A4EE" w14:textId="77777777" w:rsidTr="00AB1B20">
        <w:trPr>
          <w:trHeight w:val="285"/>
        </w:trPr>
        <w:tc>
          <w:tcPr>
            <w:tcW w:w="1920" w:type="dxa"/>
            <w:noWrap/>
            <w:hideMark/>
          </w:tcPr>
          <w:p w14:paraId="7059AC30"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200</w:t>
            </w:r>
          </w:p>
        </w:tc>
        <w:tc>
          <w:tcPr>
            <w:tcW w:w="1160" w:type="dxa"/>
            <w:noWrap/>
            <w:hideMark/>
          </w:tcPr>
          <w:p w14:paraId="3B2FAD44"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1323" w:type="dxa"/>
            <w:noWrap/>
            <w:hideMark/>
          </w:tcPr>
          <w:p w14:paraId="2F16DF0C" w14:textId="77777777" w:rsidR="00DD792B" w:rsidRPr="00DD792B" w:rsidRDefault="00DD792B" w:rsidP="00A86E67">
            <w:pPr>
              <w:jc w:val="right"/>
              <w:rPr>
                <w:rFonts w:ascii="Arial" w:hAnsi="Arial" w:cs="Arial"/>
                <w:color w:val="000000"/>
              </w:rPr>
            </w:pPr>
            <w:r w:rsidRPr="00DD792B">
              <w:rPr>
                <w:rFonts w:ascii="Arial" w:hAnsi="Arial" w:cs="Arial"/>
                <w:color w:val="000000"/>
              </w:rPr>
              <w:t>£1,999</w:t>
            </w:r>
          </w:p>
        </w:tc>
      </w:tr>
      <w:tr w:rsidR="00DD792B" w:rsidRPr="00DD792B" w14:paraId="40290261" w14:textId="77777777" w:rsidTr="00AB1B20">
        <w:trPr>
          <w:trHeight w:val="285"/>
        </w:trPr>
        <w:tc>
          <w:tcPr>
            <w:tcW w:w="1920" w:type="dxa"/>
            <w:noWrap/>
            <w:hideMark/>
          </w:tcPr>
          <w:p w14:paraId="57FF0292"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250</w:t>
            </w:r>
          </w:p>
        </w:tc>
        <w:tc>
          <w:tcPr>
            <w:tcW w:w="1160" w:type="dxa"/>
            <w:noWrap/>
            <w:hideMark/>
          </w:tcPr>
          <w:p w14:paraId="6D127926"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1323" w:type="dxa"/>
            <w:noWrap/>
            <w:hideMark/>
          </w:tcPr>
          <w:p w14:paraId="78BE8609" w14:textId="77777777" w:rsidR="00DD792B" w:rsidRPr="00DD792B" w:rsidRDefault="00DD792B" w:rsidP="00A86E67">
            <w:pPr>
              <w:jc w:val="right"/>
              <w:rPr>
                <w:rFonts w:ascii="Arial" w:hAnsi="Arial" w:cs="Arial"/>
                <w:color w:val="000000"/>
              </w:rPr>
            </w:pPr>
            <w:r w:rsidRPr="00DD792B">
              <w:rPr>
                <w:rFonts w:ascii="Arial" w:hAnsi="Arial" w:cs="Arial"/>
                <w:color w:val="000000"/>
              </w:rPr>
              <w:t>£1,999</w:t>
            </w:r>
          </w:p>
        </w:tc>
      </w:tr>
      <w:tr w:rsidR="00DD792B" w:rsidRPr="00DD792B" w14:paraId="480840FB" w14:textId="77777777" w:rsidTr="00AB1B20">
        <w:trPr>
          <w:trHeight w:val="285"/>
        </w:trPr>
        <w:tc>
          <w:tcPr>
            <w:tcW w:w="1920" w:type="dxa"/>
            <w:noWrap/>
            <w:hideMark/>
          </w:tcPr>
          <w:p w14:paraId="004D0781"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300</w:t>
            </w:r>
          </w:p>
        </w:tc>
        <w:tc>
          <w:tcPr>
            <w:tcW w:w="1160" w:type="dxa"/>
            <w:noWrap/>
            <w:hideMark/>
          </w:tcPr>
          <w:p w14:paraId="26257F2F"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1323" w:type="dxa"/>
            <w:noWrap/>
            <w:hideMark/>
          </w:tcPr>
          <w:p w14:paraId="078D0512" w14:textId="77777777" w:rsidR="00DD792B" w:rsidRPr="00DD792B" w:rsidRDefault="00DD792B" w:rsidP="00A86E67">
            <w:pPr>
              <w:jc w:val="right"/>
              <w:rPr>
                <w:rFonts w:ascii="Arial" w:hAnsi="Arial" w:cs="Arial"/>
                <w:color w:val="000000"/>
              </w:rPr>
            </w:pPr>
            <w:r w:rsidRPr="00DD792B">
              <w:rPr>
                <w:rFonts w:ascii="Arial" w:hAnsi="Arial" w:cs="Arial"/>
                <w:color w:val="000000"/>
              </w:rPr>
              <w:t>£1,999</w:t>
            </w:r>
          </w:p>
        </w:tc>
      </w:tr>
      <w:tr w:rsidR="00DD792B" w:rsidRPr="00DD792B" w14:paraId="714178C7" w14:textId="77777777" w:rsidTr="00AB1B20">
        <w:trPr>
          <w:trHeight w:val="285"/>
        </w:trPr>
        <w:tc>
          <w:tcPr>
            <w:tcW w:w="1920" w:type="dxa"/>
            <w:noWrap/>
            <w:hideMark/>
          </w:tcPr>
          <w:p w14:paraId="7FB1B4EC"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350</w:t>
            </w:r>
          </w:p>
        </w:tc>
        <w:tc>
          <w:tcPr>
            <w:tcW w:w="1160" w:type="dxa"/>
            <w:noWrap/>
            <w:hideMark/>
          </w:tcPr>
          <w:p w14:paraId="5F76B679"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1323" w:type="dxa"/>
            <w:noWrap/>
            <w:hideMark/>
          </w:tcPr>
          <w:p w14:paraId="684319CB" w14:textId="77777777" w:rsidR="00DD792B" w:rsidRPr="00DD792B" w:rsidRDefault="00DD792B" w:rsidP="00A86E67">
            <w:pPr>
              <w:jc w:val="right"/>
              <w:rPr>
                <w:rFonts w:ascii="Arial" w:hAnsi="Arial" w:cs="Arial"/>
                <w:color w:val="000000"/>
              </w:rPr>
            </w:pPr>
            <w:r w:rsidRPr="00DD792B">
              <w:rPr>
                <w:rFonts w:ascii="Arial" w:hAnsi="Arial" w:cs="Arial"/>
                <w:color w:val="000000"/>
              </w:rPr>
              <w:t>£1,999</w:t>
            </w:r>
          </w:p>
        </w:tc>
      </w:tr>
      <w:tr w:rsidR="00DD792B" w:rsidRPr="00DD792B" w14:paraId="6D5DF09F" w14:textId="77777777" w:rsidTr="00AB1B20">
        <w:trPr>
          <w:trHeight w:val="285"/>
        </w:trPr>
        <w:tc>
          <w:tcPr>
            <w:tcW w:w="1920" w:type="dxa"/>
            <w:noWrap/>
            <w:hideMark/>
          </w:tcPr>
          <w:p w14:paraId="77C36A0B" w14:textId="77777777" w:rsidR="00DD792B" w:rsidRPr="00DD792B" w:rsidRDefault="00DD792B" w:rsidP="00A86E67">
            <w:pPr>
              <w:jc w:val="right"/>
              <w:rPr>
                <w:rFonts w:ascii="Arial" w:hAnsi="Arial" w:cs="Arial"/>
                <w:b/>
                <w:bCs/>
                <w:color w:val="000000"/>
              </w:rPr>
            </w:pPr>
            <w:r w:rsidRPr="00DD792B">
              <w:rPr>
                <w:rFonts w:ascii="Arial" w:hAnsi="Arial" w:cs="Arial"/>
                <w:b/>
                <w:bCs/>
                <w:color w:val="000000"/>
              </w:rPr>
              <w:t>400</w:t>
            </w:r>
          </w:p>
        </w:tc>
        <w:tc>
          <w:tcPr>
            <w:tcW w:w="1160" w:type="dxa"/>
            <w:noWrap/>
            <w:hideMark/>
          </w:tcPr>
          <w:p w14:paraId="1EC81CA9"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1323" w:type="dxa"/>
            <w:noWrap/>
            <w:hideMark/>
          </w:tcPr>
          <w:p w14:paraId="7E005230" w14:textId="77777777" w:rsidR="00DD792B" w:rsidRPr="00DD792B" w:rsidRDefault="00DD792B" w:rsidP="00A86E67">
            <w:pPr>
              <w:jc w:val="right"/>
              <w:rPr>
                <w:rFonts w:ascii="Arial" w:hAnsi="Arial" w:cs="Arial"/>
                <w:color w:val="000000"/>
              </w:rPr>
            </w:pPr>
            <w:r w:rsidRPr="00DD792B">
              <w:rPr>
                <w:rFonts w:ascii="Arial" w:hAnsi="Arial" w:cs="Arial"/>
                <w:color w:val="000000"/>
              </w:rPr>
              <w:t>£2,232</w:t>
            </w:r>
          </w:p>
        </w:tc>
      </w:tr>
    </w:tbl>
    <w:p w14:paraId="47E50743" w14:textId="77777777" w:rsidR="00DD792B" w:rsidRPr="00DD792B" w:rsidRDefault="00DD792B" w:rsidP="00DD792B">
      <w:pPr>
        <w:pStyle w:val="EBBodyPara"/>
        <w:spacing w:after="0"/>
        <w:rPr>
          <w:sz w:val="24"/>
          <w:szCs w:val="24"/>
        </w:rPr>
      </w:pPr>
    </w:p>
    <w:p w14:paraId="385466CA" w14:textId="6C4FE109" w:rsidR="00DD792B" w:rsidRDefault="00DD792B" w:rsidP="00DD792B">
      <w:pPr>
        <w:pStyle w:val="EBBodyPara"/>
        <w:spacing w:after="0"/>
        <w:rPr>
          <w:sz w:val="24"/>
          <w:szCs w:val="24"/>
          <w:u w:val="single"/>
        </w:rPr>
      </w:pPr>
      <w:r w:rsidRPr="00DD792B">
        <w:rPr>
          <w:sz w:val="24"/>
          <w:szCs w:val="24"/>
          <w:u w:val="single"/>
        </w:rPr>
        <w:t>Table 3</w:t>
      </w:r>
      <w:r w:rsidR="00BA0C0E">
        <w:rPr>
          <w:sz w:val="24"/>
          <w:szCs w:val="24"/>
          <w:u w:val="single"/>
        </w:rPr>
        <w:t xml:space="preserve"> – Fee bands under the current system and the proposed system</w:t>
      </w:r>
    </w:p>
    <w:p w14:paraId="4F79040A" w14:textId="77777777" w:rsidR="00AB1B20" w:rsidRPr="00DD792B" w:rsidRDefault="00AB1B20" w:rsidP="00DD792B">
      <w:pPr>
        <w:pStyle w:val="EBBodyPara"/>
        <w:spacing w:after="0"/>
        <w:rPr>
          <w:sz w:val="24"/>
          <w:szCs w:val="24"/>
          <w:u w:val="single"/>
        </w:rPr>
      </w:pPr>
    </w:p>
    <w:tbl>
      <w:tblPr>
        <w:tblW w:w="9385" w:type="dxa"/>
        <w:tblLook w:val="04A0" w:firstRow="1" w:lastRow="0" w:firstColumn="1" w:lastColumn="0" w:noHBand="0" w:noVBand="1"/>
      </w:tblPr>
      <w:tblGrid>
        <w:gridCol w:w="1495"/>
        <w:gridCol w:w="1980"/>
        <w:gridCol w:w="1965"/>
        <w:gridCol w:w="1980"/>
        <w:gridCol w:w="1965"/>
      </w:tblGrid>
      <w:tr w:rsidR="00DD792B" w:rsidRPr="00DD792B" w14:paraId="7C605BEC" w14:textId="77777777" w:rsidTr="00A86E67">
        <w:trPr>
          <w:trHeight w:val="326"/>
        </w:trPr>
        <w:tc>
          <w:tcPr>
            <w:tcW w:w="0" w:type="auto"/>
            <w:tcBorders>
              <w:top w:val="nil"/>
              <w:left w:val="nil"/>
              <w:bottom w:val="nil"/>
              <w:right w:val="nil"/>
            </w:tcBorders>
            <w:shd w:val="clear" w:color="auto" w:fill="auto"/>
            <w:noWrap/>
            <w:vAlign w:val="bottom"/>
            <w:hideMark/>
          </w:tcPr>
          <w:p w14:paraId="18F817DF" w14:textId="77777777" w:rsidR="00DD792B" w:rsidRPr="00DD792B" w:rsidRDefault="00DD792B" w:rsidP="00A86E67">
            <w:pPr>
              <w:rPr>
                <w:rFonts w:ascii="Arial" w:hAnsi="Arial" w:cs="Arial"/>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B87A3E" w14:textId="77777777" w:rsidR="00DD792B" w:rsidRPr="00DD792B" w:rsidRDefault="00DD792B" w:rsidP="00A86E67">
            <w:pPr>
              <w:jc w:val="center"/>
              <w:rPr>
                <w:rFonts w:ascii="Arial" w:hAnsi="Arial" w:cs="Arial"/>
                <w:color w:val="000000"/>
              </w:rPr>
            </w:pPr>
            <w:r w:rsidRPr="00DD792B">
              <w:rPr>
                <w:rFonts w:ascii="Arial" w:hAnsi="Arial" w:cs="Arial"/>
                <w:color w:val="000000"/>
              </w:rPr>
              <w:t>Current annual fees</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403640CA" w14:textId="77777777" w:rsidR="00DD792B" w:rsidRPr="00DD792B" w:rsidRDefault="00DD792B" w:rsidP="00A86E67">
            <w:pPr>
              <w:jc w:val="center"/>
              <w:rPr>
                <w:rFonts w:ascii="Arial" w:hAnsi="Arial" w:cs="Arial"/>
                <w:color w:val="000000"/>
              </w:rPr>
            </w:pPr>
            <w:r w:rsidRPr="00DD792B">
              <w:rPr>
                <w:rFonts w:ascii="Arial" w:hAnsi="Arial" w:cs="Arial"/>
                <w:color w:val="000000"/>
              </w:rPr>
              <w:t>Proposed annual fees</w:t>
            </w:r>
          </w:p>
        </w:tc>
      </w:tr>
      <w:tr w:rsidR="00DD792B" w:rsidRPr="00DD792B" w14:paraId="27657212" w14:textId="77777777" w:rsidTr="00A86E67">
        <w:trPr>
          <w:trHeight w:val="9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7B37089" w14:textId="77777777" w:rsidR="00DD792B" w:rsidRPr="00DD792B" w:rsidRDefault="00DD792B" w:rsidP="00A86E67">
            <w:pPr>
              <w:rPr>
                <w:rFonts w:ascii="Arial" w:hAnsi="Arial" w:cs="Arial"/>
                <w:color w:val="000000"/>
              </w:rPr>
            </w:pPr>
            <w:r w:rsidRPr="00DD792B">
              <w:rPr>
                <w:rFonts w:ascii="Arial" w:hAnsi="Arial" w:cs="Arial"/>
                <w:color w:val="000000"/>
              </w:rPr>
              <w:t>NOR of Schools</w:t>
            </w:r>
            <w:r w:rsidRPr="00DD792B">
              <w:rPr>
                <w:rFonts w:ascii="Arial" w:hAnsi="Arial" w:cs="Arial"/>
                <w:b/>
                <w:bCs/>
                <w:color w:val="00000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9F0FEBA" w14:textId="77777777" w:rsidR="00DD792B" w:rsidRPr="00DD792B" w:rsidRDefault="00DD792B" w:rsidP="00A86E67">
            <w:pPr>
              <w:rPr>
                <w:rFonts w:ascii="Arial" w:hAnsi="Arial" w:cs="Arial"/>
                <w:color w:val="000000"/>
              </w:rPr>
            </w:pPr>
            <w:r w:rsidRPr="00DD792B">
              <w:rPr>
                <w:rFonts w:ascii="Arial" w:hAnsi="Arial" w:cs="Arial"/>
                <w:color w:val="000000"/>
              </w:rPr>
              <w:t>Fixed Charge element of Fee paid per year</w:t>
            </w:r>
          </w:p>
        </w:tc>
        <w:tc>
          <w:tcPr>
            <w:tcW w:w="0" w:type="auto"/>
            <w:tcBorders>
              <w:top w:val="nil"/>
              <w:left w:val="nil"/>
              <w:bottom w:val="single" w:sz="8" w:space="0" w:color="auto"/>
              <w:right w:val="single" w:sz="8" w:space="0" w:color="auto"/>
            </w:tcBorders>
            <w:shd w:val="clear" w:color="auto" w:fill="auto"/>
            <w:vAlign w:val="center"/>
            <w:hideMark/>
          </w:tcPr>
          <w:p w14:paraId="0D68FFF0" w14:textId="77777777" w:rsidR="00DD792B" w:rsidRPr="00DD792B" w:rsidRDefault="00DD792B" w:rsidP="00A86E67">
            <w:pPr>
              <w:rPr>
                <w:rFonts w:ascii="Arial" w:hAnsi="Arial" w:cs="Arial"/>
                <w:color w:val="000000"/>
              </w:rPr>
            </w:pPr>
            <w:r w:rsidRPr="00DD792B">
              <w:rPr>
                <w:rFonts w:ascii="Arial" w:hAnsi="Arial" w:cs="Arial"/>
                <w:color w:val="000000"/>
              </w:rPr>
              <w:t>Variable Fee Charged per Pupil per year</w:t>
            </w:r>
          </w:p>
        </w:tc>
        <w:tc>
          <w:tcPr>
            <w:tcW w:w="0" w:type="auto"/>
            <w:tcBorders>
              <w:top w:val="nil"/>
              <w:left w:val="nil"/>
              <w:bottom w:val="single" w:sz="8" w:space="0" w:color="auto"/>
              <w:right w:val="single" w:sz="8" w:space="0" w:color="auto"/>
            </w:tcBorders>
            <w:shd w:val="clear" w:color="auto" w:fill="auto"/>
            <w:vAlign w:val="center"/>
            <w:hideMark/>
          </w:tcPr>
          <w:p w14:paraId="102F4FEA" w14:textId="77777777" w:rsidR="00DD792B" w:rsidRPr="00DD792B" w:rsidRDefault="00DD792B" w:rsidP="00A86E67">
            <w:pPr>
              <w:rPr>
                <w:rFonts w:ascii="Arial" w:hAnsi="Arial" w:cs="Arial"/>
                <w:color w:val="000000"/>
              </w:rPr>
            </w:pPr>
            <w:r w:rsidRPr="00DD792B">
              <w:rPr>
                <w:rFonts w:ascii="Arial" w:hAnsi="Arial" w:cs="Arial"/>
                <w:color w:val="000000"/>
              </w:rPr>
              <w:t>Fixed Charge element of Fee paid per year</w:t>
            </w:r>
          </w:p>
        </w:tc>
        <w:tc>
          <w:tcPr>
            <w:tcW w:w="0" w:type="auto"/>
            <w:tcBorders>
              <w:top w:val="nil"/>
              <w:left w:val="nil"/>
              <w:bottom w:val="single" w:sz="8" w:space="0" w:color="auto"/>
              <w:right w:val="single" w:sz="8" w:space="0" w:color="auto"/>
            </w:tcBorders>
            <w:shd w:val="clear" w:color="auto" w:fill="auto"/>
            <w:vAlign w:val="center"/>
            <w:hideMark/>
          </w:tcPr>
          <w:p w14:paraId="0219808E" w14:textId="77777777" w:rsidR="00DD792B" w:rsidRPr="00DD792B" w:rsidRDefault="00DD792B" w:rsidP="00A86E67">
            <w:pPr>
              <w:rPr>
                <w:rFonts w:ascii="Arial" w:hAnsi="Arial" w:cs="Arial"/>
                <w:color w:val="000000"/>
              </w:rPr>
            </w:pPr>
            <w:r w:rsidRPr="00DD792B">
              <w:rPr>
                <w:rFonts w:ascii="Arial" w:hAnsi="Arial" w:cs="Arial"/>
                <w:color w:val="000000"/>
              </w:rPr>
              <w:t>Variable Fee Charged per Pupil per year</w:t>
            </w:r>
          </w:p>
        </w:tc>
      </w:tr>
      <w:tr w:rsidR="00DD792B" w:rsidRPr="00DD792B" w14:paraId="6931408D" w14:textId="77777777" w:rsidTr="00A86E67">
        <w:trPr>
          <w:trHeight w:val="419"/>
        </w:trPr>
        <w:tc>
          <w:tcPr>
            <w:tcW w:w="0" w:type="auto"/>
            <w:tcBorders>
              <w:top w:val="nil"/>
              <w:left w:val="single" w:sz="8" w:space="0" w:color="auto"/>
              <w:bottom w:val="nil"/>
              <w:right w:val="single" w:sz="8" w:space="0" w:color="auto"/>
            </w:tcBorders>
            <w:shd w:val="clear" w:color="auto" w:fill="auto"/>
            <w:noWrap/>
            <w:vAlign w:val="center"/>
            <w:hideMark/>
          </w:tcPr>
          <w:p w14:paraId="79D5F601" w14:textId="77777777" w:rsidR="00DD792B" w:rsidRPr="00DD792B" w:rsidRDefault="00DD792B" w:rsidP="00A86E67">
            <w:pPr>
              <w:rPr>
                <w:rFonts w:ascii="Arial" w:hAnsi="Arial" w:cs="Arial"/>
                <w:color w:val="000000"/>
              </w:rPr>
            </w:pPr>
            <w:r w:rsidRPr="00DD792B">
              <w:rPr>
                <w:rFonts w:ascii="Arial" w:hAnsi="Arial" w:cs="Arial"/>
                <w:color w:val="000000"/>
              </w:rPr>
              <w:t>1 to 99</w:t>
            </w:r>
          </w:p>
        </w:tc>
        <w:tc>
          <w:tcPr>
            <w:tcW w:w="0" w:type="auto"/>
            <w:tcBorders>
              <w:top w:val="nil"/>
              <w:left w:val="nil"/>
              <w:bottom w:val="nil"/>
              <w:right w:val="single" w:sz="8" w:space="0" w:color="auto"/>
            </w:tcBorders>
            <w:shd w:val="clear" w:color="auto" w:fill="auto"/>
            <w:noWrap/>
            <w:vAlign w:val="center"/>
            <w:hideMark/>
          </w:tcPr>
          <w:p w14:paraId="204B7090" w14:textId="77777777" w:rsidR="00DD792B" w:rsidRPr="00DD792B" w:rsidRDefault="00DD792B" w:rsidP="00A86E67">
            <w:pPr>
              <w:jc w:val="right"/>
              <w:rPr>
                <w:rFonts w:ascii="Arial" w:hAnsi="Arial" w:cs="Arial"/>
                <w:color w:val="000000"/>
              </w:rPr>
            </w:pPr>
            <w:r w:rsidRPr="00DD792B">
              <w:rPr>
                <w:rFonts w:ascii="Arial" w:hAnsi="Arial" w:cs="Arial"/>
                <w:color w:val="000000"/>
              </w:rPr>
              <w:t>£200</w:t>
            </w:r>
          </w:p>
        </w:tc>
        <w:tc>
          <w:tcPr>
            <w:tcW w:w="0" w:type="auto"/>
            <w:tcBorders>
              <w:top w:val="nil"/>
              <w:left w:val="nil"/>
              <w:bottom w:val="nil"/>
              <w:right w:val="single" w:sz="8" w:space="0" w:color="auto"/>
            </w:tcBorders>
            <w:shd w:val="clear" w:color="auto" w:fill="auto"/>
            <w:noWrap/>
            <w:vAlign w:val="center"/>
            <w:hideMark/>
          </w:tcPr>
          <w:p w14:paraId="092A02E2" w14:textId="77777777" w:rsidR="00DD792B" w:rsidRPr="00DD792B" w:rsidRDefault="00DD792B" w:rsidP="00A86E67">
            <w:pPr>
              <w:jc w:val="right"/>
              <w:rPr>
                <w:rFonts w:ascii="Arial" w:hAnsi="Arial" w:cs="Arial"/>
                <w:color w:val="000000"/>
              </w:rPr>
            </w:pPr>
            <w:r w:rsidRPr="00DD792B">
              <w:rPr>
                <w:rFonts w:ascii="Arial" w:hAnsi="Arial" w:cs="Arial"/>
                <w:color w:val="000000"/>
              </w:rPr>
              <w:t>£9</w:t>
            </w:r>
          </w:p>
        </w:tc>
        <w:tc>
          <w:tcPr>
            <w:tcW w:w="0" w:type="auto"/>
            <w:tcBorders>
              <w:top w:val="nil"/>
              <w:left w:val="nil"/>
              <w:bottom w:val="nil"/>
              <w:right w:val="single" w:sz="8" w:space="0" w:color="auto"/>
            </w:tcBorders>
            <w:shd w:val="clear" w:color="auto" w:fill="auto"/>
            <w:noWrap/>
            <w:vAlign w:val="center"/>
            <w:hideMark/>
          </w:tcPr>
          <w:p w14:paraId="2BBD3EEA" w14:textId="77777777" w:rsidR="00DD792B" w:rsidRPr="00DD792B" w:rsidRDefault="00DD792B" w:rsidP="00A86E67">
            <w:pPr>
              <w:jc w:val="right"/>
              <w:rPr>
                <w:rFonts w:ascii="Arial" w:hAnsi="Arial" w:cs="Arial"/>
                <w:color w:val="000000"/>
              </w:rPr>
            </w:pPr>
            <w:r w:rsidRPr="00DD792B">
              <w:rPr>
                <w:rFonts w:ascii="Arial" w:hAnsi="Arial" w:cs="Arial"/>
                <w:color w:val="000000"/>
              </w:rPr>
              <w:t>£300</w:t>
            </w:r>
          </w:p>
        </w:tc>
        <w:tc>
          <w:tcPr>
            <w:tcW w:w="0" w:type="auto"/>
            <w:tcBorders>
              <w:top w:val="nil"/>
              <w:left w:val="nil"/>
              <w:bottom w:val="nil"/>
              <w:right w:val="single" w:sz="8" w:space="0" w:color="auto"/>
            </w:tcBorders>
            <w:shd w:val="clear" w:color="auto" w:fill="auto"/>
            <w:noWrap/>
            <w:vAlign w:val="center"/>
            <w:hideMark/>
          </w:tcPr>
          <w:p w14:paraId="1623744C" w14:textId="77777777" w:rsidR="00DD792B" w:rsidRPr="00DD792B" w:rsidRDefault="00DD792B" w:rsidP="00A86E67">
            <w:pPr>
              <w:jc w:val="right"/>
              <w:rPr>
                <w:rFonts w:ascii="Arial" w:hAnsi="Arial" w:cs="Arial"/>
                <w:color w:val="000000"/>
              </w:rPr>
            </w:pPr>
            <w:r w:rsidRPr="00DD792B">
              <w:rPr>
                <w:rFonts w:ascii="Arial" w:hAnsi="Arial" w:cs="Arial"/>
                <w:color w:val="000000"/>
              </w:rPr>
              <w:t>£12</w:t>
            </w:r>
          </w:p>
        </w:tc>
      </w:tr>
      <w:tr w:rsidR="00DD792B" w:rsidRPr="00DD792B" w14:paraId="44FC78AB" w14:textId="77777777" w:rsidTr="00A86E67">
        <w:trPr>
          <w:trHeight w:val="498"/>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2186633A" w14:textId="77777777" w:rsidR="00DD792B" w:rsidRPr="00DD792B" w:rsidRDefault="00DD792B" w:rsidP="00A86E67">
            <w:pPr>
              <w:rPr>
                <w:rFonts w:ascii="Arial" w:hAnsi="Arial" w:cs="Arial"/>
                <w:color w:val="000000"/>
              </w:rPr>
            </w:pPr>
            <w:r w:rsidRPr="00DD792B">
              <w:rPr>
                <w:rFonts w:ascii="Arial" w:hAnsi="Arial" w:cs="Arial"/>
                <w:color w:val="000000"/>
              </w:rPr>
              <w:t>100 to 150</w:t>
            </w:r>
          </w:p>
        </w:tc>
        <w:tc>
          <w:tcPr>
            <w:tcW w:w="0" w:type="auto"/>
            <w:tcBorders>
              <w:top w:val="single" w:sz="8" w:space="0" w:color="auto"/>
              <w:left w:val="nil"/>
              <w:bottom w:val="nil"/>
              <w:right w:val="single" w:sz="8" w:space="0" w:color="auto"/>
            </w:tcBorders>
            <w:shd w:val="clear" w:color="auto" w:fill="auto"/>
            <w:noWrap/>
            <w:vAlign w:val="center"/>
            <w:hideMark/>
          </w:tcPr>
          <w:p w14:paraId="3B99612B" w14:textId="77777777" w:rsidR="00DD792B" w:rsidRPr="00DD792B" w:rsidRDefault="00DD792B" w:rsidP="00A86E67">
            <w:pPr>
              <w:jc w:val="right"/>
              <w:rPr>
                <w:rFonts w:ascii="Arial" w:hAnsi="Arial" w:cs="Arial"/>
                <w:color w:val="000000"/>
              </w:rPr>
            </w:pPr>
            <w:r w:rsidRPr="00DD792B">
              <w:rPr>
                <w:rFonts w:ascii="Arial" w:hAnsi="Arial" w:cs="Arial"/>
                <w:color w:val="000000"/>
              </w:rPr>
              <w:t>£200</w:t>
            </w:r>
          </w:p>
        </w:tc>
        <w:tc>
          <w:tcPr>
            <w:tcW w:w="0" w:type="auto"/>
            <w:tcBorders>
              <w:top w:val="single" w:sz="8" w:space="0" w:color="auto"/>
              <w:left w:val="nil"/>
              <w:bottom w:val="nil"/>
              <w:right w:val="single" w:sz="8" w:space="0" w:color="auto"/>
            </w:tcBorders>
            <w:shd w:val="clear" w:color="auto" w:fill="auto"/>
            <w:noWrap/>
            <w:vAlign w:val="center"/>
            <w:hideMark/>
          </w:tcPr>
          <w:p w14:paraId="063171D6" w14:textId="77777777" w:rsidR="00DD792B" w:rsidRPr="00DD792B" w:rsidRDefault="00DD792B" w:rsidP="00A86E67">
            <w:pPr>
              <w:jc w:val="right"/>
              <w:rPr>
                <w:rFonts w:ascii="Arial" w:hAnsi="Arial" w:cs="Arial"/>
                <w:color w:val="000000"/>
              </w:rPr>
            </w:pPr>
            <w:r w:rsidRPr="00DD792B">
              <w:rPr>
                <w:rFonts w:ascii="Arial" w:hAnsi="Arial" w:cs="Arial"/>
                <w:color w:val="000000"/>
              </w:rPr>
              <w:t>£9</w:t>
            </w:r>
          </w:p>
        </w:tc>
        <w:tc>
          <w:tcPr>
            <w:tcW w:w="0" w:type="auto"/>
            <w:tcBorders>
              <w:top w:val="single" w:sz="8" w:space="0" w:color="auto"/>
              <w:left w:val="nil"/>
              <w:bottom w:val="nil"/>
              <w:right w:val="single" w:sz="8" w:space="0" w:color="auto"/>
            </w:tcBorders>
            <w:shd w:val="clear" w:color="auto" w:fill="auto"/>
            <w:noWrap/>
            <w:vAlign w:val="center"/>
            <w:hideMark/>
          </w:tcPr>
          <w:p w14:paraId="31E8CF99" w14:textId="77777777" w:rsidR="00DD792B" w:rsidRPr="00DD792B" w:rsidRDefault="00DD792B" w:rsidP="00A86E67">
            <w:pPr>
              <w:jc w:val="right"/>
              <w:rPr>
                <w:rFonts w:ascii="Arial" w:hAnsi="Arial" w:cs="Arial"/>
                <w:color w:val="000000"/>
              </w:rPr>
            </w:pPr>
            <w:r w:rsidRPr="00DD792B">
              <w:rPr>
                <w:rFonts w:ascii="Arial" w:hAnsi="Arial" w:cs="Arial"/>
                <w:color w:val="000000"/>
              </w:rPr>
              <w:t>£1,475</w:t>
            </w:r>
          </w:p>
        </w:tc>
        <w:tc>
          <w:tcPr>
            <w:tcW w:w="0" w:type="auto"/>
            <w:tcBorders>
              <w:top w:val="single" w:sz="8" w:space="0" w:color="auto"/>
              <w:left w:val="nil"/>
              <w:bottom w:val="nil"/>
              <w:right w:val="single" w:sz="8" w:space="0" w:color="auto"/>
            </w:tcBorders>
            <w:shd w:val="clear" w:color="000000" w:fill="BFBFBF"/>
            <w:noWrap/>
            <w:vAlign w:val="center"/>
            <w:hideMark/>
          </w:tcPr>
          <w:p w14:paraId="4B70E48B" w14:textId="77777777" w:rsidR="00DD792B" w:rsidRPr="00DD792B" w:rsidRDefault="00DD792B" w:rsidP="00A86E67">
            <w:pPr>
              <w:jc w:val="right"/>
              <w:rPr>
                <w:rFonts w:ascii="Arial" w:hAnsi="Arial" w:cs="Arial"/>
                <w:color w:val="000000"/>
              </w:rPr>
            </w:pPr>
            <w:r w:rsidRPr="00DD792B">
              <w:rPr>
                <w:rFonts w:ascii="Arial" w:hAnsi="Arial" w:cs="Arial"/>
                <w:color w:val="000000"/>
              </w:rPr>
              <w:t>£12(a)</w:t>
            </w:r>
          </w:p>
        </w:tc>
      </w:tr>
      <w:tr w:rsidR="00DD792B" w:rsidRPr="00DD792B" w14:paraId="4B9ACEB8" w14:textId="77777777" w:rsidTr="00A86E67">
        <w:trPr>
          <w:trHeight w:val="427"/>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24AE1F99" w14:textId="77777777" w:rsidR="00DD792B" w:rsidRPr="00DD792B" w:rsidRDefault="00DD792B" w:rsidP="00A86E67">
            <w:pPr>
              <w:rPr>
                <w:rFonts w:ascii="Arial" w:hAnsi="Arial" w:cs="Arial"/>
                <w:color w:val="000000"/>
              </w:rPr>
            </w:pPr>
            <w:r w:rsidRPr="00DD792B">
              <w:rPr>
                <w:rFonts w:ascii="Arial" w:hAnsi="Arial" w:cs="Arial"/>
                <w:color w:val="000000"/>
              </w:rPr>
              <w:t xml:space="preserve">151 to 399 </w:t>
            </w:r>
          </w:p>
        </w:tc>
        <w:tc>
          <w:tcPr>
            <w:tcW w:w="0" w:type="auto"/>
            <w:tcBorders>
              <w:top w:val="single" w:sz="8" w:space="0" w:color="auto"/>
              <w:left w:val="nil"/>
              <w:bottom w:val="nil"/>
              <w:right w:val="single" w:sz="8" w:space="0" w:color="auto"/>
            </w:tcBorders>
            <w:shd w:val="clear" w:color="auto" w:fill="auto"/>
            <w:noWrap/>
            <w:vAlign w:val="center"/>
            <w:hideMark/>
          </w:tcPr>
          <w:p w14:paraId="46FF0480"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0" w:type="auto"/>
            <w:tcBorders>
              <w:top w:val="single" w:sz="8" w:space="0" w:color="auto"/>
              <w:left w:val="nil"/>
              <w:bottom w:val="nil"/>
              <w:right w:val="single" w:sz="8" w:space="0" w:color="auto"/>
            </w:tcBorders>
            <w:shd w:val="clear" w:color="000000" w:fill="BFBFBF"/>
            <w:noWrap/>
            <w:vAlign w:val="center"/>
            <w:hideMark/>
          </w:tcPr>
          <w:p w14:paraId="405C8D20" w14:textId="77777777" w:rsidR="00DD792B" w:rsidRPr="00DD792B" w:rsidRDefault="00DD792B" w:rsidP="00A86E67">
            <w:pPr>
              <w:rPr>
                <w:rFonts w:ascii="Arial" w:hAnsi="Arial" w:cs="Arial"/>
                <w:color w:val="000000"/>
              </w:rPr>
            </w:pPr>
            <w:r w:rsidRPr="00DD792B">
              <w:rPr>
                <w:rFonts w:ascii="Arial" w:hAnsi="Arial" w:cs="Arial"/>
                <w:color w:val="000000"/>
              </w:rPr>
              <w:t> </w:t>
            </w:r>
          </w:p>
        </w:tc>
        <w:tc>
          <w:tcPr>
            <w:tcW w:w="0" w:type="auto"/>
            <w:tcBorders>
              <w:top w:val="single" w:sz="8" w:space="0" w:color="auto"/>
              <w:left w:val="nil"/>
              <w:bottom w:val="nil"/>
              <w:right w:val="single" w:sz="8" w:space="0" w:color="auto"/>
            </w:tcBorders>
            <w:shd w:val="clear" w:color="auto" w:fill="auto"/>
            <w:noWrap/>
            <w:vAlign w:val="center"/>
            <w:hideMark/>
          </w:tcPr>
          <w:p w14:paraId="399ECA4F" w14:textId="77777777" w:rsidR="00DD792B" w:rsidRPr="00DD792B" w:rsidRDefault="00DD792B" w:rsidP="00A86E67">
            <w:pPr>
              <w:jc w:val="right"/>
              <w:rPr>
                <w:rFonts w:ascii="Arial" w:hAnsi="Arial" w:cs="Arial"/>
                <w:color w:val="000000"/>
              </w:rPr>
            </w:pPr>
            <w:r w:rsidRPr="00DD792B">
              <w:rPr>
                <w:rFonts w:ascii="Arial" w:hAnsi="Arial" w:cs="Arial"/>
                <w:color w:val="000000"/>
              </w:rPr>
              <w:t>£1,999</w:t>
            </w:r>
          </w:p>
        </w:tc>
        <w:tc>
          <w:tcPr>
            <w:tcW w:w="0" w:type="auto"/>
            <w:tcBorders>
              <w:top w:val="single" w:sz="8" w:space="0" w:color="auto"/>
              <w:left w:val="nil"/>
              <w:bottom w:val="nil"/>
              <w:right w:val="single" w:sz="8" w:space="0" w:color="auto"/>
            </w:tcBorders>
            <w:shd w:val="clear" w:color="000000" w:fill="BFBFBF"/>
            <w:noWrap/>
            <w:vAlign w:val="center"/>
            <w:hideMark/>
          </w:tcPr>
          <w:p w14:paraId="1BC40FB2" w14:textId="77777777" w:rsidR="00DD792B" w:rsidRPr="00DD792B" w:rsidRDefault="00DD792B" w:rsidP="00A86E67">
            <w:pPr>
              <w:rPr>
                <w:rFonts w:ascii="Arial" w:hAnsi="Arial" w:cs="Arial"/>
                <w:color w:val="000000"/>
              </w:rPr>
            </w:pPr>
            <w:r w:rsidRPr="00DD792B">
              <w:rPr>
                <w:rFonts w:ascii="Arial" w:hAnsi="Arial" w:cs="Arial"/>
                <w:color w:val="000000"/>
              </w:rPr>
              <w:t> </w:t>
            </w:r>
          </w:p>
        </w:tc>
      </w:tr>
      <w:tr w:rsidR="00DD792B" w:rsidRPr="00DD792B" w14:paraId="5D6A9DB9" w14:textId="77777777" w:rsidTr="00A86E67">
        <w:trPr>
          <w:trHeight w:val="492"/>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94562" w14:textId="77777777" w:rsidR="00DD792B" w:rsidRPr="00DD792B" w:rsidRDefault="00DD792B" w:rsidP="00A86E67">
            <w:pPr>
              <w:rPr>
                <w:rFonts w:ascii="Arial" w:hAnsi="Arial" w:cs="Arial"/>
                <w:color w:val="000000"/>
              </w:rPr>
            </w:pPr>
            <w:r w:rsidRPr="00DD792B">
              <w:rPr>
                <w:rFonts w:ascii="Arial" w:hAnsi="Arial" w:cs="Arial"/>
                <w:color w:val="000000"/>
              </w:rPr>
              <w:t>400 plus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1E78097" w14:textId="77777777" w:rsidR="00DD792B" w:rsidRPr="00DD792B" w:rsidRDefault="00DD792B" w:rsidP="00A86E67">
            <w:pPr>
              <w:jc w:val="right"/>
              <w:rPr>
                <w:rFonts w:ascii="Arial" w:hAnsi="Arial" w:cs="Arial"/>
                <w:color w:val="000000"/>
              </w:rPr>
            </w:pPr>
            <w:r w:rsidRPr="00DD792B">
              <w:rPr>
                <w:rFonts w:ascii="Arial" w:hAnsi="Arial" w:cs="Arial"/>
                <w:color w:val="000000"/>
              </w:rPr>
              <w:t>£1,666</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14:paraId="393CFF57" w14:textId="77777777" w:rsidR="00DD792B" w:rsidRPr="00DD792B" w:rsidRDefault="00DD792B" w:rsidP="00A86E67">
            <w:pPr>
              <w:rPr>
                <w:rFonts w:ascii="Arial" w:hAnsi="Arial" w:cs="Arial"/>
                <w:color w:val="000000"/>
              </w:rPr>
            </w:pPr>
            <w:r w:rsidRPr="00DD792B">
              <w:rPr>
                <w:rFonts w:ascii="Arial" w:hAnsi="Arial" w:cs="Arial"/>
                <w:color w:val="000000"/>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41C8851" w14:textId="77777777" w:rsidR="00DD792B" w:rsidRPr="00DD792B" w:rsidRDefault="00DD792B" w:rsidP="00A86E67">
            <w:pPr>
              <w:jc w:val="right"/>
              <w:rPr>
                <w:rFonts w:ascii="Arial" w:hAnsi="Arial" w:cs="Arial"/>
                <w:color w:val="000000"/>
              </w:rPr>
            </w:pPr>
            <w:r w:rsidRPr="00DD792B">
              <w:rPr>
                <w:rFonts w:ascii="Arial" w:hAnsi="Arial" w:cs="Arial"/>
                <w:color w:val="000000"/>
              </w:rPr>
              <w:t>£2,232</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14:paraId="05A671DB" w14:textId="77777777" w:rsidR="00DD792B" w:rsidRPr="00DD792B" w:rsidRDefault="00DD792B" w:rsidP="00A86E67">
            <w:pPr>
              <w:rPr>
                <w:rFonts w:ascii="Arial" w:hAnsi="Arial" w:cs="Arial"/>
                <w:color w:val="000000"/>
              </w:rPr>
            </w:pPr>
            <w:r w:rsidRPr="00DD792B">
              <w:rPr>
                <w:rFonts w:ascii="Arial" w:hAnsi="Arial" w:cs="Arial"/>
                <w:color w:val="000000"/>
              </w:rPr>
              <w:t> </w:t>
            </w:r>
          </w:p>
        </w:tc>
      </w:tr>
      <w:tr w:rsidR="00DD792B" w:rsidRPr="00DD792B" w14:paraId="30F161E3" w14:textId="77777777" w:rsidTr="00A86E67">
        <w:trPr>
          <w:trHeight w:val="664"/>
        </w:trPr>
        <w:tc>
          <w:tcPr>
            <w:tcW w:w="0" w:type="auto"/>
            <w:gridSpan w:val="5"/>
            <w:tcBorders>
              <w:top w:val="single" w:sz="8" w:space="0" w:color="auto"/>
              <w:left w:val="nil"/>
              <w:bottom w:val="nil"/>
              <w:right w:val="nil"/>
            </w:tcBorders>
            <w:shd w:val="clear" w:color="auto" w:fill="auto"/>
            <w:vAlign w:val="bottom"/>
            <w:hideMark/>
          </w:tcPr>
          <w:p w14:paraId="5E31A0C4" w14:textId="77777777" w:rsidR="00DD792B" w:rsidRPr="00AB1B20" w:rsidRDefault="00DD792B" w:rsidP="00A86E67">
            <w:pPr>
              <w:rPr>
                <w:rFonts w:ascii="Arial" w:hAnsi="Arial" w:cs="Arial"/>
                <w:color w:val="000000"/>
                <w:sz w:val="22"/>
              </w:rPr>
            </w:pPr>
            <w:r w:rsidRPr="00AB1B20">
              <w:rPr>
                <w:rFonts w:ascii="Arial" w:hAnsi="Arial" w:cs="Arial"/>
                <w:color w:val="000000"/>
                <w:sz w:val="22"/>
              </w:rPr>
              <w:t>(a) Only charged for pupils on roll above 120 in number. Without this, schools at the highest end of this band would pay less than at present.</w:t>
            </w:r>
          </w:p>
        </w:tc>
      </w:tr>
    </w:tbl>
    <w:p w14:paraId="45B288BE" w14:textId="77777777" w:rsidR="00DD792B" w:rsidRPr="00DD792B" w:rsidRDefault="00DD792B" w:rsidP="00DD792B">
      <w:pPr>
        <w:pStyle w:val="EBBodyPara"/>
        <w:spacing w:after="0"/>
        <w:rPr>
          <w:sz w:val="24"/>
          <w:szCs w:val="24"/>
          <w:u w:val="single"/>
        </w:rPr>
      </w:pPr>
    </w:p>
    <w:p w14:paraId="6D34B35E" w14:textId="77777777" w:rsidR="00DD792B" w:rsidRPr="00DD792B" w:rsidRDefault="00DD792B" w:rsidP="00DD792B">
      <w:pPr>
        <w:pStyle w:val="EBBodyPara"/>
        <w:spacing w:after="0"/>
        <w:rPr>
          <w:sz w:val="24"/>
          <w:szCs w:val="24"/>
          <w:u w:val="single"/>
        </w:rPr>
      </w:pPr>
    </w:p>
    <w:p w14:paraId="19D20EE4" w14:textId="77777777" w:rsidR="00DD792B" w:rsidRPr="00DD792B" w:rsidRDefault="00DD792B" w:rsidP="00DD792B">
      <w:pPr>
        <w:pStyle w:val="DeptBullets"/>
        <w:numPr>
          <w:ilvl w:val="0"/>
          <w:numId w:val="32"/>
        </w:numPr>
        <w:spacing w:after="0"/>
        <w:rPr>
          <w:rFonts w:cs="Arial"/>
          <w:szCs w:val="24"/>
          <w:u w:val="single"/>
        </w:rPr>
      </w:pPr>
      <w:r w:rsidRPr="00DD792B">
        <w:rPr>
          <w:rFonts w:cs="Arial"/>
          <w:szCs w:val="24"/>
        </w:rPr>
        <w:lastRenderedPageBreak/>
        <w:t>First standard inspections</w:t>
      </w:r>
    </w:p>
    <w:p w14:paraId="2A92107B" w14:textId="77777777" w:rsidR="00DD792B" w:rsidRPr="00DD792B" w:rsidRDefault="00DD792B" w:rsidP="00DD792B">
      <w:pPr>
        <w:pStyle w:val="DeptBullets"/>
        <w:numPr>
          <w:ilvl w:val="0"/>
          <w:numId w:val="0"/>
        </w:numPr>
        <w:spacing w:after="0"/>
        <w:ind w:left="360"/>
        <w:rPr>
          <w:rFonts w:cs="Arial"/>
          <w:szCs w:val="24"/>
          <w:u w:val="single"/>
        </w:rPr>
      </w:pPr>
    </w:p>
    <w:p w14:paraId="408EF562" w14:textId="6BBE0ACA" w:rsidR="00DD792B" w:rsidRPr="00DD792B" w:rsidRDefault="00DD792B" w:rsidP="00DD792B">
      <w:pPr>
        <w:pStyle w:val="DeptBullets"/>
        <w:numPr>
          <w:ilvl w:val="0"/>
          <w:numId w:val="0"/>
        </w:numPr>
        <w:spacing w:after="0"/>
        <w:rPr>
          <w:rFonts w:cs="Arial"/>
          <w:szCs w:val="24"/>
        </w:rPr>
      </w:pPr>
      <w:r w:rsidRPr="00DD792B">
        <w:rPr>
          <w:rFonts w:cs="Arial"/>
          <w:szCs w:val="24"/>
        </w:rPr>
        <w:t>There is currently no charge to independent schools for their first standard inspection. Option B includes a proposal to charge for these at the same rate as set out in table 3. The 80 new schools opening each year will be required to pay this fee. The cost of this</w:t>
      </w:r>
      <w:r w:rsidR="00BA0C0E">
        <w:rPr>
          <w:rFonts w:cs="Arial"/>
          <w:szCs w:val="24"/>
        </w:rPr>
        <w:t>, for all schools,</w:t>
      </w:r>
      <w:r w:rsidRPr="00DD792B">
        <w:rPr>
          <w:rFonts w:cs="Arial"/>
          <w:szCs w:val="24"/>
        </w:rPr>
        <w:t xml:space="preserve"> is £76,000 in the first year, £152,000 in the second year and £229,000 in the third and subsequent years. Schools pay for their standard inspections in three equal instalments over three years. For this reason, a cohort of 80 new schools opening each year will not pay their first standard inspection cost past the third year of opening. The costs are shown in table 4 over 10 years, in 2017 prices.</w:t>
      </w:r>
    </w:p>
    <w:p w14:paraId="47687B01" w14:textId="77777777" w:rsidR="00DD792B" w:rsidRPr="00DD792B" w:rsidRDefault="00DD792B" w:rsidP="00DD792B">
      <w:pPr>
        <w:pStyle w:val="DeptBullets"/>
        <w:numPr>
          <w:ilvl w:val="0"/>
          <w:numId w:val="0"/>
        </w:numPr>
        <w:spacing w:after="0"/>
        <w:rPr>
          <w:rFonts w:cs="Arial"/>
          <w:color w:val="2E74B5" w:themeColor="accent1" w:themeShade="BF"/>
          <w:szCs w:val="24"/>
        </w:rPr>
      </w:pPr>
    </w:p>
    <w:p w14:paraId="0E43BD5E" w14:textId="77777777" w:rsidR="00DD792B" w:rsidRPr="00DD792B" w:rsidRDefault="00DD792B" w:rsidP="00DD792B">
      <w:pPr>
        <w:pStyle w:val="DeptBullets"/>
        <w:numPr>
          <w:ilvl w:val="0"/>
          <w:numId w:val="0"/>
        </w:numPr>
        <w:spacing w:after="0"/>
        <w:rPr>
          <w:rFonts w:cs="Arial"/>
          <w:szCs w:val="24"/>
          <w:u w:val="single"/>
        </w:rPr>
      </w:pPr>
      <w:r w:rsidRPr="00DD792B">
        <w:rPr>
          <w:rFonts w:cs="Arial"/>
          <w:szCs w:val="24"/>
          <w:u w:val="single"/>
        </w:rPr>
        <w:t>Table 3</w:t>
      </w:r>
    </w:p>
    <w:tbl>
      <w:tblPr>
        <w:tblpPr w:leftFromText="180" w:rightFromText="180" w:vertAnchor="text" w:horzAnchor="page" w:tblpX="709" w:tblpY="318"/>
        <w:tblW w:w="5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52"/>
        <w:gridCol w:w="895"/>
        <w:gridCol w:w="898"/>
        <w:gridCol w:w="893"/>
        <w:gridCol w:w="898"/>
        <w:gridCol w:w="895"/>
        <w:gridCol w:w="895"/>
        <w:gridCol w:w="893"/>
        <w:gridCol w:w="895"/>
        <w:gridCol w:w="895"/>
        <w:gridCol w:w="1033"/>
      </w:tblGrid>
      <w:tr w:rsidR="00AB1B20" w:rsidRPr="00DD792B" w14:paraId="501861F2" w14:textId="77777777" w:rsidTr="00AB1B20">
        <w:trPr>
          <w:trHeight w:val="381"/>
        </w:trPr>
        <w:tc>
          <w:tcPr>
            <w:tcW w:w="416" w:type="pct"/>
            <w:shd w:val="clear" w:color="auto" w:fill="auto"/>
            <w:noWrap/>
            <w:vAlign w:val="bottom"/>
            <w:hideMark/>
          </w:tcPr>
          <w:p w14:paraId="5AFC2670" w14:textId="77777777" w:rsidR="006B5D8B" w:rsidRPr="00DD792B" w:rsidRDefault="006B5D8B" w:rsidP="006B5D8B">
            <w:pPr>
              <w:rPr>
                <w:rFonts w:ascii="Arial" w:hAnsi="Arial" w:cs="Arial"/>
                <w:b/>
                <w:bCs/>
                <w:color w:val="000000"/>
              </w:rPr>
            </w:pPr>
          </w:p>
        </w:tc>
        <w:tc>
          <w:tcPr>
            <w:tcW w:w="350" w:type="pct"/>
            <w:shd w:val="clear" w:color="auto" w:fill="auto"/>
            <w:noWrap/>
            <w:vAlign w:val="bottom"/>
            <w:hideMark/>
          </w:tcPr>
          <w:p w14:paraId="165B8F66" w14:textId="77777777" w:rsidR="006B5D8B" w:rsidRPr="00DD792B" w:rsidRDefault="006B5D8B" w:rsidP="006B5D8B">
            <w:pPr>
              <w:rPr>
                <w:rFonts w:ascii="Arial" w:hAnsi="Arial" w:cs="Arial"/>
                <w:b/>
                <w:bCs/>
                <w:color w:val="000000"/>
              </w:rPr>
            </w:pPr>
            <w:r w:rsidRPr="00DD792B">
              <w:rPr>
                <w:rFonts w:ascii="Arial" w:hAnsi="Arial" w:cs="Arial"/>
                <w:b/>
                <w:bCs/>
                <w:color w:val="000000"/>
              </w:rPr>
              <w:t>Year 1</w:t>
            </w:r>
          </w:p>
        </w:tc>
        <w:tc>
          <w:tcPr>
            <w:tcW w:w="417" w:type="pct"/>
            <w:shd w:val="clear" w:color="auto" w:fill="auto"/>
            <w:noWrap/>
            <w:vAlign w:val="bottom"/>
            <w:hideMark/>
          </w:tcPr>
          <w:p w14:paraId="5199076F" w14:textId="77777777" w:rsidR="006B5D8B" w:rsidRPr="00DD792B" w:rsidRDefault="006B5D8B" w:rsidP="006B5D8B">
            <w:pPr>
              <w:rPr>
                <w:rFonts w:ascii="Arial" w:hAnsi="Arial" w:cs="Arial"/>
                <w:b/>
                <w:bCs/>
                <w:color w:val="000000"/>
              </w:rPr>
            </w:pPr>
            <w:r w:rsidRPr="00DD792B">
              <w:rPr>
                <w:rFonts w:ascii="Arial" w:hAnsi="Arial" w:cs="Arial"/>
                <w:b/>
                <w:bCs/>
                <w:color w:val="000000"/>
              </w:rPr>
              <w:t>Year 2</w:t>
            </w:r>
          </w:p>
        </w:tc>
        <w:tc>
          <w:tcPr>
            <w:tcW w:w="418" w:type="pct"/>
            <w:shd w:val="clear" w:color="auto" w:fill="auto"/>
            <w:noWrap/>
            <w:vAlign w:val="bottom"/>
            <w:hideMark/>
          </w:tcPr>
          <w:p w14:paraId="76BEFCD2" w14:textId="77777777" w:rsidR="006B5D8B" w:rsidRPr="00DD792B" w:rsidRDefault="006B5D8B" w:rsidP="006B5D8B">
            <w:pPr>
              <w:rPr>
                <w:rFonts w:ascii="Arial" w:hAnsi="Arial" w:cs="Arial"/>
                <w:b/>
                <w:bCs/>
                <w:color w:val="000000"/>
              </w:rPr>
            </w:pPr>
            <w:r w:rsidRPr="00DD792B">
              <w:rPr>
                <w:rFonts w:ascii="Arial" w:hAnsi="Arial" w:cs="Arial"/>
                <w:b/>
                <w:bCs/>
                <w:color w:val="000000"/>
              </w:rPr>
              <w:t>Year 3</w:t>
            </w:r>
          </w:p>
        </w:tc>
        <w:tc>
          <w:tcPr>
            <w:tcW w:w="416" w:type="pct"/>
            <w:shd w:val="clear" w:color="auto" w:fill="auto"/>
            <w:noWrap/>
            <w:vAlign w:val="bottom"/>
            <w:hideMark/>
          </w:tcPr>
          <w:p w14:paraId="17F5F9C8" w14:textId="77777777" w:rsidR="006B5D8B" w:rsidRPr="00DD792B" w:rsidRDefault="006B5D8B" w:rsidP="006B5D8B">
            <w:pPr>
              <w:rPr>
                <w:rFonts w:ascii="Arial" w:hAnsi="Arial" w:cs="Arial"/>
                <w:b/>
                <w:bCs/>
                <w:color w:val="000000"/>
              </w:rPr>
            </w:pPr>
            <w:r w:rsidRPr="00DD792B">
              <w:rPr>
                <w:rFonts w:ascii="Arial" w:hAnsi="Arial" w:cs="Arial"/>
                <w:b/>
                <w:bCs/>
                <w:color w:val="000000"/>
              </w:rPr>
              <w:t>Year 4</w:t>
            </w:r>
          </w:p>
        </w:tc>
        <w:tc>
          <w:tcPr>
            <w:tcW w:w="418" w:type="pct"/>
            <w:shd w:val="clear" w:color="auto" w:fill="auto"/>
            <w:noWrap/>
            <w:vAlign w:val="bottom"/>
            <w:hideMark/>
          </w:tcPr>
          <w:p w14:paraId="527C19F0" w14:textId="77777777" w:rsidR="006B5D8B" w:rsidRPr="00DD792B" w:rsidRDefault="006B5D8B" w:rsidP="006B5D8B">
            <w:pPr>
              <w:rPr>
                <w:rFonts w:ascii="Arial" w:hAnsi="Arial" w:cs="Arial"/>
                <w:b/>
                <w:bCs/>
                <w:color w:val="000000"/>
              </w:rPr>
            </w:pPr>
            <w:r w:rsidRPr="00DD792B">
              <w:rPr>
                <w:rFonts w:ascii="Arial" w:hAnsi="Arial" w:cs="Arial"/>
                <w:b/>
                <w:bCs/>
                <w:color w:val="000000"/>
              </w:rPr>
              <w:t>Year 5</w:t>
            </w:r>
          </w:p>
        </w:tc>
        <w:tc>
          <w:tcPr>
            <w:tcW w:w="417" w:type="pct"/>
            <w:shd w:val="clear" w:color="auto" w:fill="auto"/>
            <w:noWrap/>
            <w:vAlign w:val="bottom"/>
            <w:hideMark/>
          </w:tcPr>
          <w:p w14:paraId="7DFBF36F" w14:textId="77777777" w:rsidR="006B5D8B" w:rsidRPr="00DD792B" w:rsidRDefault="006B5D8B" w:rsidP="006B5D8B">
            <w:pPr>
              <w:rPr>
                <w:rFonts w:ascii="Arial" w:hAnsi="Arial" w:cs="Arial"/>
                <w:b/>
                <w:bCs/>
                <w:color w:val="000000"/>
              </w:rPr>
            </w:pPr>
            <w:r w:rsidRPr="00DD792B">
              <w:rPr>
                <w:rFonts w:ascii="Arial" w:hAnsi="Arial" w:cs="Arial"/>
                <w:b/>
                <w:bCs/>
                <w:color w:val="000000"/>
              </w:rPr>
              <w:t>Year 6</w:t>
            </w:r>
          </w:p>
        </w:tc>
        <w:tc>
          <w:tcPr>
            <w:tcW w:w="417" w:type="pct"/>
            <w:shd w:val="clear" w:color="auto" w:fill="auto"/>
            <w:noWrap/>
            <w:vAlign w:val="bottom"/>
            <w:hideMark/>
          </w:tcPr>
          <w:p w14:paraId="45B6F511" w14:textId="77777777" w:rsidR="006B5D8B" w:rsidRPr="00DD792B" w:rsidRDefault="006B5D8B" w:rsidP="006B5D8B">
            <w:pPr>
              <w:rPr>
                <w:rFonts w:ascii="Arial" w:hAnsi="Arial" w:cs="Arial"/>
                <w:b/>
                <w:bCs/>
                <w:color w:val="000000"/>
              </w:rPr>
            </w:pPr>
            <w:r w:rsidRPr="00DD792B">
              <w:rPr>
                <w:rFonts w:ascii="Arial" w:hAnsi="Arial" w:cs="Arial"/>
                <w:b/>
                <w:bCs/>
                <w:color w:val="000000"/>
              </w:rPr>
              <w:t>Year 7</w:t>
            </w:r>
          </w:p>
        </w:tc>
        <w:tc>
          <w:tcPr>
            <w:tcW w:w="416" w:type="pct"/>
            <w:shd w:val="clear" w:color="auto" w:fill="auto"/>
            <w:noWrap/>
            <w:vAlign w:val="bottom"/>
            <w:hideMark/>
          </w:tcPr>
          <w:p w14:paraId="16E45DE0" w14:textId="77777777" w:rsidR="006B5D8B" w:rsidRPr="00DD792B" w:rsidRDefault="006B5D8B" w:rsidP="006B5D8B">
            <w:pPr>
              <w:rPr>
                <w:rFonts w:ascii="Arial" w:hAnsi="Arial" w:cs="Arial"/>
                <w:b/>
                <w:bCs/>
                <w:color w:val="000000"/>
              </w:rPr>
            </w:pPr>
            <w:r w:rsidRPr="00DD792B">
              <w:rPr>
                <w:rFonts w:ascii="Arial" w:hAnsi="Arial" w:cs="Arial"/>
                <w:b/>
                <w:bCs/>
                <w:color w:val="000000"/>
              </w:rPr>
              <w:t>Year 8</w:t>
            </w:r>
          </w:p>
        </w:tc>
        <w:tc>
          <w:tcPr>
            <w:tcW w:w="417" w:type="pct"/>
            <w:shd w:val="clear" w:color="auto" w:fill="auto"/>
            <w:noWrap/>
            <w:vAlign w:val="bottom"/>
            <w:hideMark/>
          </w:tcPr>
          <w:p w14:paraId="51F225E7" w14:textId="77777777" w:rsidR="006B5D8B" w:rsidRPr="00DD792B" w:rsidRDefault="006B5D8B" w:rsidP="006B5D8B">
            <w:pPr>
              <w:rPr>
                <w:rFonts w:ascii="Arial" w:hAnsi="Arial" w:cs="Arial"/>
                <w:b/>
                <w:bCs/>
                <w:color w:val="000000"/>
              </w:rPr>
            </w:pPr>
            <w:r w:rsidRPr="00DD792B">
              <w:rPr>
                <w:rFonts w:ascii="Arial" w:hAnsi="Arial" w:cs="Arial"/>
                <w:b/>
                <w:bCs/>
                <w:color w:val="000000"/>
              </w:rPr>
              <w:t>Year 9</w:t>
            </w:r>
          </w:p>
        </w:tc>
        <w:tc>
          <w:tcPr>
            <w:tcW w:w="417" w:type="pct"/>
            <w:shd w:val="clear" w:color="auto" w:fill="auto"/>
            <w:noWrap/>
            <w:vAlign w:val="bottom"/>
            <w:hideMark/>
          </w:tcPr>
          <w:p w14:paraId="51A4EC5A" w14:textId="77777777" w:rsidR="006B5D8B" w:rsidRPr="00DD792B" w:rsidRDefault="006B5D8B" w:rsidP="006B5D8B">
            <w:pPr>
              <w:rPr>
                <w:rFonts w:ascii="Arial" w:hAnsi="Arial" w:cs="Arial"/>
                <w:b/>
                <w:bCs/>
                <w:color w:val="000000"/>
              </w:rPr>
            </w:pPr>
            <w:r w:rsidRPr="00DD792B">
              <w:rPr>
                <w:rFonts w:ascii="Arial" w:hAnsi="Arial" w:cs="Arial"/>
                <w:b/>
                <w:bCs/>
                <w:color w:val="000000"/>
              </w:rPr>
              <w:t>Year 10</w:t>
            </w:r>
          </w:p>
        </w:tc>
        <w:tc>
          <w:tcPr>
            <w:tcW w:w="482" w:type="pct"/>
            <w:shd w:val="clear" w:color="auto" w:fill="auto"/>
            <w:noWrap/>
            <w:vAlign w:val="bottom"/>
            <w:hideMark/>
          </w:tcPr>
          <w:p w14:paraId="3F0C25F1" w14:textId="77777777" w:rsidR="006B5D8B" w:rsidRPr="00DD792B" w:rsidRDefault="006B5D8B" w:rsidP="006B5D8B">
            <w:pPr>
              <w:rPr>
                <w:rFonts w:ascii="Arial" w:hAnsi="Arial" w:cs="Arial"/>
                <w:b/>
                <w:bCs/>
                <w:color w:val="000000"/>
              </w:rPr>
            </w:pPr>
            <w:r w:rsidRPr="00DD792B">
              <w:rPr>
                <w:rFonts w:ascii="Arial" w:hAnsi="Arial" w:cs="Arial"/>
                <w:b/>
                <w:bCs/>
                <w:color w:val="000000"/>
              </w:rPr>
              <w:t>Total</w:t>
            </w:r>
          </w:p>
        </w:tc>
      </w:tr>
      <w:tr w:rsidR="00AB1B20" w:rsidRPr="00DD792B" w14:paraId="1E2E98CE" w14:textId="77777777" w:rsidTr="00AB1B20">
        <w:trPr>
          <w:trHeight w:val="381"/>
        </w:trPr>
        <w:tc>
          <w:tcPr>
            <w:tcW w:w="416" w:type="pct"/>
            <w:shd w:val="clear" w:color="auto" w:fill="auto"/>
            <w:noWrap/>
            <w:vAlign w:val="bottom"/>
            <w:hideMark/>
          </w:tcPr>
          <w:p w14:paraId="5272611F" w14:textId="77777777" w:rsidR="006B5D8B" w:rsidRPr="00DD792B" w:rsidRDefault="006B5D8B" w:rsidP="006B5D8B">
            <w:pPr>
              <w:rPr>
                <w:rFonts w:ascii="Arial" w:hAnsi="Arial" w:cs="Arial"/>
                <w:color w:val="000000"/>
              </w:rPr>
            </w:pPr>
            <w:r w:rsidRPr="00DD792B">
              <w:rPr>
                <w:rFonts w:ascii="Arial" w:hAnsi="Arial" w:cs="Arial"/>
                <w:color w:val="000000"/>
              </w:rPr>
              <w:t>y1 cohort</w:t>
            </w:r>
          </w:p>
        </w:tc>
        <w:tc>
          <w:tcPr>
            <w:tcW w:w="350" w:type="pct"/>
            <w:shd w:val="clear" w:color="auto" w:fill="auto"/>
            <w:noWrap/>
            <w:vAlign w:val="bottom"/>
            <w:hideMark/>
          </w:tcPr>
          <w:p w14:paraId="0904C4CC"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16FE741E"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8" w:type="pct"/>
            <w:shd w:val="clear" w:color="auto" w:fill="auto"/>
            <w:noWrap/>
            <w:vAlign w:val="bottom"/>
            <w:hideMark/>
          </w:tcPr>
          <w:p w14:paraId="3AB96A9B"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000000" w:fill="C9C9C9"/>
            <w:noWrap/>
            <w:vAlign w:val="bottom"/>
            <w:hideMark/>
          </w:tcPr>
          <w:p w14:paraId="763B8FA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6601ECBA"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72E3824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1D0A7893"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35C066A9"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312F3145"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7A81EFAA"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65D45786"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294FF60D" w14:textId="77777777" w:rsidTr="00AB1B20">
        <w:trPr>
          <w:trHeight w:val="381"/>
        </w:trPr>
        <w:tc>
          <w:tcPr>
            <w:tcW w:w="416" w:type="pct"/>
            <w:shd w:val="clear" w:color="auto" w:fill="auto"/>
            <w:noWrap/>
            <w:vAlign w:val="bottom"/>
            <w:hideMark/>
          </w:tcPr>
          <w:p w14:paraId="7CA8EA9A" w14:textId="77777777" w:rsidR="006B5D8B" w:rsidRPr="00DD792B" w:rsidRDefault="006B5D8B" w:rsidP="006B5D8B">
            <w:pPr>
              <w:rPr>
                <w:rFonts w:ascii="Arial" w:hAnsi="Arial" w:cs="Arial"/>
                <w:color w:val="000000"/>
              </w:rPr>
            </w:pPr>
            <w:r w:rsidRPr="00DD792B">
              <w:rPr>
                <w:rFonts w:ascii="Arial" w:hAnsi="Arial" w:cs="Arial"/>
                <w:color w:val="000000"/>
              </w:rPr>
              <w:t>y2 cohort</w:t>
            </w:r>
          </w:p>
        </w:tc>
        <w:tc>
          <w:tcPr>
            <w:tcW w:w="350" w:type="pct"/>
            <w:shd w:val="clear" w:color="000000" w:fill="C9C9C9"/>
            <w:noWrap/>
            <w:vAlign w:val="bottom"/>
            <w:hideMark/>
          </w:tcPr>
          <w:p w14:paraId="773D18F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auto" w:fill="auto"/>
            <w:noWrap/>
            <w:vAlign w:val="bottom"/>
            <w:hideMark/>
          </w:tcPr>
          <w:p w14:paraId="7DF4BCA2"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8" w:type="pct"/>
            <w:shd w:val="clear" w:color="auto" w:fill="auto"/>
            <w:noWrap/>
            <w:vAlign w:val="bottom"/>
            <w:hideMark/>
          </w:tcPr>
          <w:p w14:paraId="30F59680"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auto" w:fill="auto"/>
            <w:noWrap/>
            <w:vAlign w:val="bottom"/>
            <w:hideMark/>
          </w:tcPr>
          <w:p w14:paraId="589B8BE2"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8" w:type="pct"/>
            <w:shd w:val="clear" w:color="000000" w:fill="C9C9C9"/>
            <w:noWrap/>
            <w:vAlign w:val="bottom"/>
            <w:hideMark/>
          </w:tcPr>
          <w:p w14:paraId="62523FB5"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862DE18"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53EF024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13383E09"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6FB08E9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635C622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6A2F07ED"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79DD2BF3" w14:textId="77777777" w:rsidTr="00AB1B20">
        <w:trPr>
          <w:trHeight w:val="381"/>
        </w:trPr>
        <w:tc>
          <w:tcPr>
            <w:tcW w:w="416" w:type="pct"/>
            <w:shd w:val="clear" w:color="auto" w:fill="auto"/>
            <w:noWrap/>
            <w:vAlign w:val="bottom"/>
            <w:hideMark/>
          </w:tcPr>
          <w:p w14:paraId="7B9F1A39" w14:textId="77777777" w:rsidR="006B5D8B" w:rsidRPr="00DD792B" w:rsidRDefault="006B5D8B" w:rsidP="006B5D8B">
            <w:pPr>
              <w:rPr>
                <w:rFonts w:ascii="Arial" w:hAnsi="Arial" w:cs="Arial"/>
                <w:color w:val="000000"/>
              </w:rPr>
            </w:pPr>
            <w:r w:rsidRPr="00DD792B">
              <w:rPr>
                <w:rFonts w:ascii="Arial" w:hAnsi="Arial" w:cs="Arial"/>
                <w:color w:val="000000"/>
              </w:rPr>
              <w:t>y3 cohort</w:t>
            </w:r>
          </w:p>
        </w:tc>
        <w:tc>
          <w:tcPr>
            <w:tcW w:w="350" w:type="pct"/>
            <w:shd w:val="clear" w:color="000000" w:fill="C9C9C9"/>
            <w:noWrap/>
            <w:vAlign w:val="bottom"/>
            <w:hideMark/>
          </w:tcPr>
          <w:p w14:paraId="21BE042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11B31BC6"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auto" w:fill="auto"/>
            <w:noWrap/>
            <w:vAlign w:val="bottom"/>
            <w:hideMark/>
          </w:tcPr>
          <w:p w14:paraId="1F3D4436"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auto" w:fill="auto"/>
            <w:noWrap/>
            <w:vAlign w:val="bottom"/>
            <w:hideMark/>
          </w:tcPr>
          <w:p w14:paraId="0C6E97D3"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8" w:type="pct"/>
            <w:shd w:val="clear" w:color="auto" w:fill="auto"/>
            <w:noWrap/>
            <w:vAlign w:val="bottom"/>
            <w:hideMark/>
          </w:tcPr>
          <w:p w14:paraId="09C322B7"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000000" w:fill="C9C9C9"/>
            <w:noWrap/>
            <w:vAlign w:val="bottom"/>
            <w:hideMark/>
          </w:tcPr>
          <w:p w14:paraId="1E178EA4"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8C7D9FC"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7602590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531F7D59"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7A18A48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1E6DEB00"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75261EAA" w14:textId="77777777" w:rsidTr="00AB1B20">
        <w:trPr>
          <w:trHeight w:val="381"/>
        </w:trPr>
        <w:tc>
          <w:tcPr>
            <w:tcW w:w="416" w:type="pct"/>
            <w:shd w:val="clear" w:color="auto" w:fill="auto"/>
            <w:noWrap/>
            <w:vAlign w:val="bottom"/>
            <w:hideMark/>
          </w:tcPr>
          <w:p w14:paraId="34EBF806" w14:textId="77777777" w:rsidR="006B5D8B" w:rsidRPr="00DD792B" w:rsidRDefault="006B5D8B" w:rsidP="006B5D8B">
            <w:pPr>
              <w:rPr>
                <w:rFonts w:ascii="Arial" w:hAnsi="Arial" w:cs="Arial"/>
                <w:color w:val="000000"/>
              </w:rPr>
            </w:pPr>
            <w:r w:rsidRPr="00DD792B">
              <w:rPr>
                <w:rFonts w:ascii="Arial" w:hAnsi="Arial" w:cs="Arial"/>
                <w:color w:val="000000"/>
              </w:rPr>
              <w:t>y4 cohort</w:t>
            </w:r>
          </w:p>
        </w:tc>
        <w:tc>
          <w:tcPr>
            <w:tcW w:w="350" w:type="pct"/>
            <w:shd w:val="clear" w:color="000000" w:fill="C9C9C9"/>
            <w:noWrap/>
            <w:vAlign w:val="bottom"/>
            <w:hideMark/>
          </w:tcPr>
          <w:p w14:paraId="5B96C3A3"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1DC2CAA"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36AA578A"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auto" w:fill="auto"/>
            <w:noWrap/>
            <w:vAlign w:val="bottom"/>
            <w:hideMark/>
          </w:tcPr>
          <w:p w14:paraId="3FED248C"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8" w:type="pct"/>
            <w:shd w:val="clear" w:color="auto" w:fill="auto"/>
            <w:noWrap/>
            <w:vAlign w:val="bottom"/>
            <w:hideMark/>
          </w:tcPr>
          <w:p w14:paraId="079FD96B"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1A648716"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000000" w:fill="C9C9C9"/>
            <w:noWrap/>
            <w:vAlign w:val="bottom"/>
            <w:hideMark/>
          </w:tcPr>
          <w:p w14:paraId="1D9F06B9"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78D1B5B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2035AE9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67685E1"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4BFAF216"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2EDE48DC" w14:textId="77777777" w:rsidTr="00AB1B20">
        <w:trPr>
          <w:trHeight w:val="381"/>
        </w:trPr>
        <w:tc>
          <w:tcPr>
            <w:tcW w:w="416" w:type="pct"/>
            <w:shd w:val="clear" w:color="auto" w:fill="auto"/>
            <w:noWrap/>
            <w:vAlign w:val="bottom"/>
            <w:hideMark/>
          </w:tcPr>
          <w:p w14:paraId="52735672" w14:textId="77777777" w:rsidR="006B5D8B" w:rsidRPr="00DD792B" w:rsidRDefault="006B5D8B" w:rsidP="006B5D8B">
            <w:pPr>
              <w:rPr>
                <w:rFonts w:ascii="Arial" w:hAnsi="Arial" w:cs="Arial"/>
                <w:color w:val="000000"/>
              </w:rPr>
            </w:pPr>
            <w:r w:rsidRPr="00DD792B">
              <w:rPr>
                <w:rFonts w:ascii="Arial" w:hAnsi="Arial" w:cs="Arial"/>
                <w:color w:val="000000"/>
              </w:rPr>
              <w:t>y5 cohort</w:t>
            </w:r>
          </w:p>
        </w:tc>
        <w:tc>
          <w:tcPr>
            <w:tcW w:w="350" w:type="pct"/>
            <w:shd w:val="clear" w:color="000000" w:fill="C9C9C9"/>
            <w:noWrap/>
            <w:vAlign w:val="bottom"/>
            <w:hideMark/>
          </w:tcPr>
          <w:p w14:paraId="2DC82277"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71DEFAE8"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124C81A8"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1C16C8C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auto" w:fill="auto"/>
            <w:noWrap/>
            <w:vAlign w:val="bottom"/>
            <w:hideMark/>
          </w:tcPr>
          <w:p w14:paraId="31202280"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38D85D8B"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5F897D8D"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000000" w:fill="C9C9C9"/>
            <w:noWrap/>
            <w:vAlign w:val="bottom"/>
            <w:hideMark/>
          </w:tcPr>
          <w:p w14:paraId="38A2852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DDC1252"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EB7C11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3A782989"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16CBBEC7" w14:textId="77777777" w:rsidTr="00AB1B20">
        <w:trPr>
          <w:trHeight w:val="381"/>
        </w:trPr>
        <w:tc>
          <w:tcPr>
            <w:tcW w:w="416" w:type="pct"/>
            <w:shd w:val="clear" w:color="auto" w:fill="auto"/>
            <w:noWrap/>
            <w:vAlign w:val="bottom"/>
            <w:hideMark/>
          </w:tcPr>
          <w:p w14:paraId="209DDC77" w14:textId="77777777" w:rsidR="006B5D8B" w:rsidRPr="00DD792B" w:rsidRDefault="006B5D8B" w:rsidP="006B5D8B">
            <w:pPr>
              <w:rPr>
                <w:rFonts w:ascii="Arial" w:hAnsi="Arial" w:cs="Arial"/>
                <w:color w:val="000000"/>
              </w:rPr>
            </w:pPr>
            <w:r w:rsidRPr="00DD792B">
              <w:rPr>
                <w:rFonts w:ascii="Arial" w:hAnsi="Arial" w:cs="Arial"/>
                <w:color w:val="000000"/>
              </w:rPr>
              <w:t>y6 cohort</w:t>
            </w:r>
          </w:p>
        </w:tc>
        <w:tc>
          <w:tcPr>
            <w:tcW w:w="350" w:type="pct"/>
            <w:shd w:val="clear" w:color="000000" w:fill="C9C9C9"/>
            <w:noWrap/>
            <w:vAlign w:val="bottom"/>
            <w:hideMark/>
          </w:tcPr>
          <w:p w14:paraId="631F9214"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D33E2B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5A8DF52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1301BA9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4461321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auto" w:fill="auto"/>
            <w:noWrap/>
            <w:vAlign w:val="bottom"/>
            <w:hideMark/>
          </w:tcPr>
          <w:p w14:paraId="5FCC5FE5"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3E87BA78"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auto" w:fill="auto"/>
            <w:noWrap/>
            <w:vAlign w:val="bottom"/>
            <w:hideMark/>
          </w:tcPr>
          <w:p w14:paraId="7809651B"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000000" w:fill="C9C9C9"/>
            <w:noWrap/>
            <w:vAlign w:val="bottom"/>
            <w:hideMark/>
          </w:tcPr>
          <w:p w14:paraId="1B78C302"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2DDE37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156D225B"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05917EA9" w14:textId="77777777" w:rsidTr="00AB1B20">
        <w:trPr>
          <w:trHeight w:val="381"/>
        </w:trPr>
        <w:tc>
          <w:tcPr>
            <w:tcW w:w="416" w:type="pct"/>
            <w:shd w:val="clear" w:color="auto" w:fill="auto"/>
            <w:noWrap/>
            <w:vAlign w:val="bottom"/>
            <w:hideMark/>
          </w:tcPr>
          <w:p w14:paraId="216287E0" w14:textId="77777777" w:rsidR="006B5D8B" w:rsidRPr="00DD792B" w:rsidRDefault="006B5D8B" w:rsidP="006B5D8B">
            <w:pPr>
              <w:rPr>
                <w:rFonts w:ascii="Arial" w:hAnsi="Arial" w:cs="Arial"/>
                <w:color w:val="000000"/>
              </w:rPr>
            </w:pPr>
            <w:r w:rsidRPr="00DD792B">
              <w:rPr>
                <w:rFonts w:ascii="Arial" w:hAnsi="Arial" w:cs="Arial"/>
                <w:color w:val="000000"/>
              </w:rPr>
              <w:t>y7 cohort</w:t>
            </w:r>
          </w:p>
        </w:tc>
        <w:tc>
          <w:tcPr>
            <w:tcW w:w="350" w:type="pct"/>
            <w:shd w:val="clear" w:color="000000" w:fill="C9C9C9"/>
            <w:noWrap/>
            <w:vAlign w:val="bottom"/>
            <w:hideMark/>
          </w:tcPr>
          <w:p w14:paraId="5C035CF6"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812393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3E2A93E8"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0278EE59"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745C6F3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1924B675"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auto" w:fill="auto"/>
            <w:noWrap/>
            <w:vAlign w:val="bottom"/>
            <w:hideMark/>
          </w:tcPr>
          <w:p w14:paraId="30786692"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6" w:type="pct"/>
            <w:shd w:val="clear" w:color="auto" w:fill="auto"/>
            <w:noWrap/>
            <w:vAlign w:val="bottom"/>
            <w:hideMark/>
          </w:tcPr>
          <w:p w14:paraId="1603AE22"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263BFF95"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000000" w:fill="C9C9C9"/>
            <w:noWrap/>
            <w:vAlign w:val="bottom"/>
            <w:hideMark/>
          </w:tcPr>
          <w:p w14:paraId="66C8B791"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82" w:type="pct"/>
            <w:shd w:val="clear" w:color="auto" w:fill="auto"/>
            <w:noWrap/>
            <w:vAlign w:val="bottom"/>
            <w:hideMark/>
          </w:tcPr>
          <w:p w14:paraId="3D37179C"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37C484EF" w14:textId="77777777" w:rsidTr="00AB1B20">
        <w:trPr>
          <w:trHeight w:val="381"/>
        </w:trPr>
        <w:tc>
          <w:tcPr>
            <w:tcW w:w="416" w:type="pct"/>
            <w:shd w:val="clear" w:color="auto" w:fill="auto"/>
            <w:noWrap/>
            <w:vAlign w:val="bottom"/>
            <w:hideMark/>
          </w:tcPr>
          <w:p w14:paraId="39B4DBB5" w14:textId="77777777" w:rsidR="006B5D8B" w:rsidRPr="00DD792B" w:rsidRDefault="006B5D8B" w:rsidP="006B5D8B">
            <w:pPr>
              <w:rPr>
                <w:rFonts w:ascii="Arial" w:hAnsi="Arial" w:cs="Arial"/>
                <w:color w:val="000000"/>
              </w:rPr>
            </w:pPr>
            <w:r w:rsidRPr="00DD792B">
              <w:rPr>
                <w:rFonts w:ascii="Arial" w:hAnsi="Arial" w:cs="Arial"/>
                <w:color w:val="000000"/>
              </w:rPr>
              <w:t>y8 cohort</w:t>
            </w:r>
          </w:p>
        </w:tc>
        <w:tc>
          <w:tcPr>
            <w:tcW w:w="350" w:type="pct"/>
            <w:shd w:val="clear" w:color="000000" w:fill="C9C9C9"/>
            <w:noWrap/>
            <w:vAlign w:val="bottom"/>
            <w:hideMark/>
          </w:tcPr>
          <w:p w14:paraId="6A5D7F13"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1FE0F151"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13967C1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0F23DCD2"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6DDB22E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AD7D89C"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159D8B8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auto" w:fill="auto"/>
            <w:noWrap/>
            <w:vAlign w:val="bottom"/>
            <w:hideMark/>
          </w:tcPr>
          <w:p w14:paraId="57FF6083"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7B265595"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08AE26B9"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82" w:type="pct"/>
            <w:shd w:val="clear" w:color="auto" w:fill="auto"/>
            <w:noWrap/>
            <w:vAlign w:val="bottom"/>
            <w:hideMark/>
          </w:tcPr>
          <w:p w14:paraId="1C1048C6"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r>
      <w:tr w:rsidR="00AB1B20" w:rsidRPr="00DD792B" w14:paraId="6AE64F49" w14:textId="77777777" w:rsidTr="00AB1B20">
        <w:trPr>
          <w:trHeight w:val="381"/>
        </w:trPr>
        <w:tc>
          <w:tcPr>
            <w:tcW w:w="416" w:type="pct"/>
            <w:shd w:val="clear" w:color="auto" w:fill="auto"/>
            <w:noWrap/>
            <w:vAlign w:val="bottom"/>
            <w:hideMark/>
          </w:tcPr>
          <w:p w14:paraId="092C96B9" w14:textId="77777777" w:rsidR="006B5D8B" w:rsidRPr="00DD792B" w:rsidRDefault="006B5D8B" w:rsidP="006B5D8B">
            <w:pPr>
              <w:rPr>
                <w:rFonts w:ascii="Arial" w:hAnsi="Arial" w:cs="Arial"/>
                <w:color w:val="000000"/>
              </w:rPr>
            </w:pPr>
            <w:r w:rsidRPr="00DD792B">
              <w:rPr>
                <w:rFonts w:ascii="Arial" w:hAnsi="Arial" w:cs="Arial"/>
                <w:color w:val="000000"/>
              </w:rPr>
              <w:t>y9 cohort</w:t>
            </w:r>
          </w:p>
        </w:tc>
        <w:tc>
          <w:tcPr>
            <w:tcW w:w="350" w:type="pct"/>
            <w:shd w:val="clear" w:color="000000" w:fill="C9C9C9"/>
            <w:noWrap/>
            <w:vAlign w:val="bottom"/>
            <w:hideMark/>
          </w:tcPr>
          <w:p w14:paraId="0E9EFF24"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4AEC9F2"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4085EF6D"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6D3F105F"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2763FC4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1D3167A"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5A120D8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019CD6C6"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auto" w:fill="auto"/>
            <w:noWrap/>
            <w:vAlign w:val="bottom"/>
            <w:hideMark/>
          </w:tcPr>
          <w:p w14:paraId="78E81349"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17" w:type="pct"/>
            <w:shd w:val="clear" w:color="auto" w:fill="auto"/>
            <w:noWrap/>
            <w:vAlign w:val="bottom"/>
            <w:hideMark/>
          </w:tcPr>
          <w:p w14:paraId="7A38E1E9"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82" w:type="pct"/>
            <w:shd w:val="clear" w:color="auto" w:fill="auto"/>
            <w:noWrap/>
            <w:vAlign w:val="bottom"/>
            <w:hideMark/>
          </w:tcPr>
          <w:p w14:paraId="733F9FE7"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£152k</w:t>
            </w:r>
          </w:p>
        </w:tc>
      </w:tr>
      <w:tr w:rsidR="00AB1B20" w:rsidRPr="00DD792B" w14:paraId="633BBCEB" w14:textId="77777777" w:rsidTr="00AB1B20">
        <w:trPr>
          <w:trHeight w:val="390"/>
        </w:trPr>
        <w:tc>
          <w:tcPr>
            <w:tcW w:w="416" w:type="pct"/>
            <w:shd w:val="clear" w:color="auto" w:fill="auto"/>
            <w:noWrap/>
            <w:vAlign w:val="bottom"/>
            <w:hideMark/>
          </w:tcPr>
          <w:p w14:paraId="207C92CA" w14:textId="77777777" w:rsidR="006B5D8B" w:rsidRPr="00DD792B" w:rsidRDefault="006B5D8B" w:rsidP="006B5D8B">
            <w:pPr>
              <w:rPr>
                <w:rFonts w:ascii="Arial" w:hAnsi="Arial" w:cs="Arial"/>
                <w:color w:val="000000"/>
              </w:rPr>
            </w:pPr>
            <w:r w:rsidRPr="00DD792B">
              <w:rPr>
                <w:rFonts w:ascii="Arial" w:hAnsi="Arial" w:cs="Arial"/>
                <w:color w:val="000000"/>
              </w:rPr>
              <w:t>y10 cohort</w:t>
            </w:r>
          </w:p>
        </w:tc>
        <w:tc>
          <w:tcPr>
            <w:tcW w:w="350" w:type="pct"/>
            <w:shd w:val="clear" w:color="000000" w:fill="C9C9C9"/>
            <w:noWrap/>
            <w:vAlign w:val="bottom"/>
            <w:hideMark/>
          </w:tcPr>
          <w:p w14:paraId="66181F2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467112B5"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7AE79247"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20E3968C"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8" w:type="pct"/>
            <w:shd w:val="clear" w:color="000000" w:fill="C9C9C9"/>
            <w:noWrap/>
            <w:vAlign w:val="bottom"/>
            <w:hideMark/>
          </w:tcPr>
          <w:p w14:paraId="561329F0"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383CB50E"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BFA9DE6"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6" w:type="pct"/>
            <w:shd w:val="clear" w:color="000000" w:fill="C9C9C9"/>
            <w:noWrap/>
            <w:vAlign w:val="bottom"/>
            <w:hideMark/>
          </w:tcPr>
          <w:p w14:paraId="288842C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000000" w:fill="C9C9C9"/>
            <w:noWrap/>
            <w:vAlign w:val="bottom"/>
            <w:hideMark/>
          </w:tcPr>
          <w:p w14:paraId="0E772F1B" w14:textId="77777777" w:rsidR="006B5D8B" w:rsidRPr="00DD792B" w:rsidRDefault="006B5D8B" w:rsidP="006B5D8B">
            <w:pPr>
              <w:rPr>
                <w:rFonts w:ascii="Arial" w:hAnsi="Arial" w:cs="Arial"/>
                <w:color w:val="000000"/>
              </w:rPr>
            </w:pPr>
            <w:r w:rsidRPr="00DD792B">
              <w:rPr>
                <w:rFonts w:ascii="Arial" w:hAnsi="Arial" w:cs="Arial"/>
                <w:color w:val="000000"/>
              </w:rPr>
              <w:t> </w:t>
            </w:r>
          </w:p>
        </w:tc>
        <w:tc>
          <w:tcPr>
            <w:tcW w:w="417" w:type="pct"/>
            <w:shd w:val="clear" w:color="auto" w:fill="auto"/>
            <w:noWrap/>
            <w:vAlign w:val="bottom"/>
            <w:hideMark/>
          </w:tcPr>
          <w:p w14:paraId="0D56CB9E" w14:textId="77777777" w:rsidR="006B5D8B" w:rsidRPr="00DD792B" w:rsidRDefault="006B5D8B" w:rsidP="006B5D8B">
            <w:pPr>
              <w:jc w:val="right"/>
              <w:rPr>
                <w:rFonts w:ascii="Arial" w:hAnsi="Arial" w:cs="Arial"/>
                <w:color w:val="000000"/>
              </w:rPr>
            </w:pPr>
            <w:r w:rsidRPr="00DD792B">
              <w:rPr>
                <w:rFonts w:ascii="Arial" w:hAnsi="Arial" w:cs="Arial"/>
                <w:color w:val="000000"/>
              </w:rPr>
              <w:t>£76k</w:t>
            </w:r>
          </w:p>
        </w:tc>
        <w:tc>
          <w:tcPr>
            <w:tcW w:w="482" w:type="pct"/>
            <w:shd w:val="clear" w:color="auto" w:fill="auto"/>
            <w:noWrap/>
            <w:vAlign w:val="bottom"/>
            <w:hideMark/>
          </w:tcPr>
          <w:p w14:paraId="55CE37B3"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£76k</w:t>
            </w:r>
          </w:p>
        </w:tc>
      </w:tr>
      <w:tr w:rsidR="00AB1B20" w:rsidRPr="00DD792B" w14:paraId="4960007C" w14:textId="77777777" w:rsidTr="00AB1B20">
        <w:trPr>
          <w:trHeight w:val="390"/>
        </w:trPr>
        <w:tc>
          <w:tcPr>
            <w:tcW w:w="416" w:type="pct"/>
            <w:shd w:val="clear" w:color="auto" w:fill="auto"/>
            <w:noWrap/>
            <w:vAlign w:val="bottom"/>
            <w:hideMark/>
          </w:tcPr>
          <w:p w14:paraId="05CB7CFC" w14:textId="77777777" w:rsidR="006B5D8B" w:rsidRPr="00DD792B" w:rsidRDefault="006B5D8B" w:rsidP="006B5D8B">
            <w:pPr>
              <w:rPr>
                <w:rFonts w:ascii="Arial" w:hAnsi="Arial" w:cs="Arial"/>
                <w:b/>
                <w:bCs/>
                <w:color w:val="000000"/>
              </w:rPr>
            </w:pPr>
            <w:r w:rsidRPr="00DD792B">
              <w:rPr>
                <w:rFonts w:ascii="Arial" w:hAnsi="Arial" w:cs="Arial"/>
                <w:b/>
                <w:bCs/>
                <w:color w:val="000000"/>
              </w:rPr>
              <w:t>Total</w:t>
            </w:r>
          </w:p>
        </w:tc>
        <w:tc>
          <w:tcPr>
            <w:tcW w:w="350" w:type="pct"/>
            <w:shd w:val="clear" w:color="auto" w:fill="auto"/>
            <w:noWrap/>
            <w:vAlign w:val="bottom"/>
            <w:hideMark/>
          </w:tcPr>
          <w:p w14:paraId="6A867B74"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£76k</w:t>
            </w:r>
          </w:p>
        </w:tc>
        <w:tc>
          <w:tcPr>
            <w:tcW w:w="417" w:type="pct"/>
            <w:shd w:val="clear" w:color="auto" w:fill="auto"/>
            <w:noWrap/>
            <w:vAlign w:val="bottom"/>
            <w:hideMark/>
          </w:tcPr>
          <w:p w14:paraId="443AFBEA"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£152k</w:t>
            </w:r>
          </w:p>
        </w:tc>
        <w:tc>
          <w:tcPr>
            <w:tcW w:w="418" w:type="pct"/>
            <w:shd w:val="clear" w:color="auto" w:fill="auto"/>
            <w:noWrap/>
            <w:vAlign w:val="bottom"/>
            <w:hideMark/>
          </w:tcPr>
          <w:p w14:paraId="25DF13A1"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6" w:type="pct"/>
            <w:shd w:val="clear" w:color="auto" w:fill="auto"/>
            <w:noWrap/>
            <w:vAlign w:val="bottom"/>
            <w:hideMark/>
          </w:tcPr>
          <w:p w14:paraId="7A00D63C"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8" w:type="pct"/>
            <w:shd w:val="clear" w:color="auto" w:fill="auto"/>
            <w:noWrap/>
            <w:vAlign w:val="bottom"/>
            <w:hideMark/>
          </w:tcPr>
          <w:p w14:paraId="0D27B855"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7" w:type="pct"/>
            <w:shd w:val="clear" w:color="auto" w:fill="auto"/>
            <w:noWrap/>
            <w:vAlign w:val="bottom"/>
            <w:hideMark/>
          </w:tcPr>
          <w:p w14:paraId="47D74429"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7" w:type="pct"/>
            <w:shd w:val="clear" w:color="auto" w:fill="auto"/>
            <w:noWrap/>
            <w:vAlign w:val="bottom"/>
            <w:hideMark/>
          </w:tcPr>
          <w:p w14:paraId="285EA3F9"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6" w:type="pct"/>
            <w:shd w:val="clear" w:color="auto" w:fill="auto"/>
            <w:noWrap/>
            <w:vAlign w:val="bottom"/>
            <w:hideMark/>
          </w:tcPr>
          <w:p w14:paraId="51C56172"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7" w:type="pct"/>
            <w:shd w:val="clear" w:color="auto" w:fill="auto"/>
            <w:noWrap/>
            <w:vAlign w:val="bottom"/>
            <w:hideMark/>
          </w:tcPr>
          <w:p w14:paraId="1C383206"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17" w:type="pct"/>
            <w:shd w:val="clear" w:color="auto" w:fill="auto"/>
            <w:noWrap/>
            <w:vAlign w:val="bottom"/>
            <w:hideMark/>
          </w:tcPr>
          <w:p w14:paraId="32E3E154" w14:textId="77777777" w:rsidR="006B5D8B" w:rsidRPr="00DD792B" w:rsidRDefault="006B5D8B" w:rsidP="006B5D8B">
            <w:pPr>
              <w:jc w:val="right"/>
              <w:rPr>
                <w:rFonts w:ascii="Arial" w:hAnsi="Arial" w:cs="Arial"/>
                <w:b/>
                <w:bCs/>
                <w:color w:val="000000"/>
              </w:rPr>
            </w:pPr>
            <w:r w:rsidRPr="00DD792B">
              <w:rPr>
                <w:rFonts w:ascii="Arial" w:hAnsi="Arial" w:cs="Arial"/>
                <w:b/>
                <w:bCs/>
                <w:color w:val="000000"/>
              </w:rPr>
              <w:t>£229k</w:t>
            </w:r>
          </w:p>
        </w:tc>
        <w:tc>
          <w:tcPr>
            <w:tcW w:w="482" w:type="pct"/>
            <w:shd w:val="clear" w:color="auto" w:fill="auto"/>
            <w:noWrap/>
            <w:vAlign w:val="bottom"/>
            <w:hideMark/>
          </w:tcPr>
          <w:p w14:paraId="6B48227D" w14:textId="77777777" w:rsidR="006B5D8B" w:rsidRPr="00DD792B" w:rsidRDefault="006B5D8B" w:rsidP="006B5D8B">
            <w:pPr>
              <w:jc w:val="right"/>
              <w:rPr>
                <w:rFonts w:ascii="Arial" w:hAnsi="Arial" w:cs="Arial"/>
                <w:b/>
                <w:bCs/>
                <w:color w:val="000000"/>
              </w:rPr>
            </w:pPr>
            <w:r w:rsidRPr="00DD792B">
              <w:rPr>
                <w:rFonts w:ascii="Arial" w:hAnsi="Arial" w:cs="Arial"/>
                <w:b/>
                <w:bCs/>
                <w:color w:val="FF0000"/>
              </w:rPr>
              <w:t>£2.1mil</w:t>
            </w:r>
          </w:p>
        </w:tc>
      </w:tr>
    </w:tbl>
    <w:p w14:paraId="6EB3692A" w14:textId="77777777" w:rsidR="00DD792B" w:rsidRPr="00DD792B" w:rsidRDefault="00DD792B" w:rsidP="00DD792B">
      <w:pPr>
        <w:pStyle w:val="DeptBullets"/>
        <w:numPr>
          <w:ilvl w:val="0"/>
          <w:numId w:val="0"/>
        </w:numPr>
        <w:spacing w:after="0"/>
        <w:rPr>
          <w:rFonts w:cs="Arial"/>
          <w:color w:val="2E74B5" w:themeColor="accent1" w:themeShade="BF"/>
          <w:szCs w:val="24"/>
        </w:rPr>
      </w:pPr>
    </w:p>
    <w:p w14:paraId="73D65449" w14:textId="77777777" w:rsidR="00DD792B" w:rsidRPr="00DD792B" w:rsidRDefault="00DD792B" w:rsidP="00DD792B">
      <w:pPr>
        <w:pStyle w:val="DeptBullets"/>
        <w:numPr>
          <w:ilvl w:val="0"/>
          <w:numId w:val="0"/>
        </w:numPr>
        <w:spacing w:after="0"/>
        <w:rPr>
          <w:rFonts w:cs="Arial"/>
          <w:szCs w:val="24"/>
        </w:rPr>
      </w:pPr>
    </w:p>
    <w:p w14:paraId="006C613F" w14:textId="77777777" w:rsidR="00DD792B" w:rsidRPr="00DD792B" w:rsidRDefault="00DD792B" w:rsidP="00DD792B">
      <w:pPr>
        <w:pStyle w:val="DeptBullets"/>
        <w:numPr>
          <w:ilvl w:val="0"/>
          <w:numId w:val="32"/>
        </w:numPr>
        <w:spacing w:after="0"/>
        <w:rPr>
          <w:rFonts w:cs="Arial"/>
          <w:szCs w:val="24"/>
          <w:u w:val="single"/>
        </w:rPr>
      </w:pPr>
      <w:r w:rsidRPr="00DD792B">
        <w:rPr>
          <w:rFonts w:cs="Arial"/>
          <w:szCs w:val="24"/>
        </w:rPr>
        <w:t>Progress monitoring inspections (PMIs)</w:t>
      </w:r>
    </w:p>
    <w:p w14:paraId="58DB5094" w14:textId="77777777" w:rsidR="00DD792B" w:rsidRPr="00DD792B" w:rsidRDefault="00DD792B" w:rsidP="00DD792B">
      <w:pPr>
        <w:pStyle w:val="DeptBullets"/>
        <w:numPr>
          <w:ilvl w:val="0"/>
          <w:numId w:val="0"/>
        </w:numPr>
        <w:spacing w:after="0"/>
        <w:ind w:left="360"/>
        <w:rPr>
          <w:rFonts w:cs="Arial"/>
          <w:szCs w:val="24"/>
        </w:rPr>
      </w:pPr>
    </w:p>
    <w:p w14:paraId="70AF1B6D" w14:textId="74B0E27D" w:rsidR="00DD792B" w:rsidRPr="00DD792B" w:rsidRDefault="00DD792B" w:rsidP="00DD792B">
      <w:pPr>
        <w:pStyle w:val="DeptBullets"/>
        <w:numPr>
          <w:ilvl w:val="0"/>
          <w:numId w:val="0"/>
        </w:numPr>
        <w:spacing w:after="0"/>
        <w:ind w:left="360"/>
        <w:rPr>
          <w:rFonts w:cs="Arial"/>
          <w:szCs w:val="24"/>
          <w:u w:val="single"/>
        </w:rPr>
      </w:pPr>
      <w:r w:rsidRPr="00DD792B">
        <w:rPr>
          <w:rFonts w:cs="Arial"/>
          <w:szCs w:val="24"/>
        </w:rPr>
        <w:t>At present</w:t>
      </w:r>
      <w:r w:rsidR="00BA0C0E">
        <w:rPr>
          <w:rFonts w:cs="Arial"/>
          <w:szCs w:val="24"/>
        </w:rPr>
        <w:t>,</w:t>
      </w:r>
      <w:r w:rsidRPr="00DD792B">
        <w:rPr>
          <w:rFonts w:cs="Arial"/>
          <w:szCs w:val="24"/>
        </w:rPr>
        <w:t xml:space="preserve"> only the first and second progress monitoring inspections are chargeable. The level of charge for these is not changing. If required, the third PMI will now be chargeable at a rate of £300 plus £13.50 per pupil for small schools (150 pupils or less) or £2,499 for large schools. Based on current records, there are approximately three Third PMIs a year. Based on current school sizes, we can assume that two of these are small schools with 72 pupils on average and the third is a large school with 507 pupils on average. In this case, the following additional costs would be associated with PMIs:</w:t>
      </w:r>
    </w:p>
    <w:p w14:paraId="08BC0BDA" w14:textId="77777777" w:rsidR="00DD792B" w:rsidRPr="00DD792B" w:rsidRDefault="00DD792B" w:rsidP="00DD792B">
      <w:pPr>
        <w:pStyle w:val="DeptBullets"/>
        <w:numPr>
          <w:ilvl w:val="0"/>
          <w:numId w:val="0"/>
        </w:numPr>
        <w:spacing w:after="0"/>
        <w:ind w:left="360"/>
        <w:rPr>
          <w:rFonts w:cs="Arial"/>
          <w:szCs w:val="24"/>
          <w:u w:val="single"/>
        </w:rPr>
      </w:pPr>
    </w:p>
    <w:p w14:paraId="311F695C" w14:textId="77777777" w:rsidR="00DD792B" w:rsidRPr="00DD792B" w:rsidRDefault="00DD792B" w:rsidP="00DD792B">
      <w:pPr>
        <w:pStyle w:val="DeptBullets"/>
        <w:numPr>
          <w:ilvl w:val="0"/>
          <w:numId w:val="0"/>
        </w:numPr>
        <w:spacing w:after="0"/>
        <w:ind w:left="360"/>
        <w:rPr>
          <w:rFonts w:cs="Arial"/>
          <w:szCs w:val="24"/>
        </w:rPr>
      </w:pPr>
      <w:r w:rsidRPr="00DD792B">
        <w:rPr>
          <w:rFonts w:cs="Arial"/>
          <w:szCs w:val="24"/>
        </w:rPr>
        <w:lastRenderedPageBreak/>
        <w:t xml:space="preserve">(2 x £300) + (2 x 72 x £13.50) + £2,499 </w:t>
      </w:r>
      <w:r w:rsidRPr="00DD792B">
        <w:rPr>
          <w:rFonts w:cs="Arial"/>
          <w:color w:val="222222"/>
          <w:szCs w:val="24"/>
          <w:shd w:val="clear" w:color="auto" w:fill="FFFFFF"/>
        </w:rPr>
        <w:t>≈</w:t>
      </w:r>
      <w:r w:rsidRPr="00DD792B">
        <w:rPr>
          <w:rFonts w:cs="Arial"/>
          <w:szCs w:val="24"/>
        </w:rPr>
        <w:t xml:space="preserve"> £5,000 per year</w:t>
      </w:r>
    </w:p>
    <w:p w14:paraId="1D19CCFC" w14:textId="77777777" w:rsidR="00DD792B" w:rsidRPr="00DD792B" w:rsidRDefault="00DD792B" w:rsidP="00DD792B">
      <w:pPr>
        <w:pStyle w:val="DeptBullets"/>
        <w:numPr>
          <w:ilvl w:val="0"/>
          <w:numId w:val="0"/>
        </w:numPr>
        <w:spacing w:after="0"/>
        <w:rPr>
          <w:rFonts w:cs="Arial"/>
          <w:szCs w:val="24"/>
        </w:rPr>
      </w:pPr>
    </w:p>
    <w:p w14:paraId="01D99BDE" w14:textId="77777777" w:rsidR="00DD792B" w:rsidRPr="00DD792B" w:rsidRDefault="00DD792B" w:rsidP="00DD792B">
      <w:pPr>
        <w:pStyle w:val="DeptBullets"/>
        <w:numPr>
          <w:ilvl w:val="0"/>
          <w:numId w:val="32"/>
        </w:numPr>
        <w:spacing w:after="0"/>
        <w:rPr>
          <w:rFonts w:cs="Arial"/>
          <w:szCs w:val="24"/>
        </w:rPr>
      </w:pPr>
      <w:r w:rsidRPr="00DD792B">
        <w:rPr>
          <w:rFonts w:cs="Arial"/>
          <w:szCs w:val="24"/>
        </w:rPr>
        <w:t>Pre-registration inspections</w:t>
      </w:r>
    </w:p>
    <w:p w14:paraId="143D4F98" w14:textId="77777777" w:rsidR="00DD792B" w:rsidRPr="00DD792B" w:rsidRDefault="00DD792B" w:rsidP="00DD792B">
      <w:pPr>
        <w:pStyle w:val="DeptBullets"/>
        <w:numPr>
          <w:ilvl w:val="0"/>
          <w:numId w:val="0"/>
        </w:numPr>
        <w:spacing w:after="0"/>
        <w:ind w:left="360"/>
        <w:rPr>
          <w:rFonts w:cs="Arial"/>
          <w:szCs w:val="24"/>
        </w:rPr>
      </w:pPr>
    </w:p>
    <w:p w14:paraId="0F2339B0" w14:textId="77777777" w:rsidR="00DD792B" w:rsidRPr="00DD792B" w:rsidRDefault="00DD792B" w:rsidP="00DD792B">
      <w:pPr>
        <w:pStyle w:val="DeptBullets"/>
        <w:numPr>
          <w:ilvl w:val="0"/>
          <w:numId w:val="0"/>
        </w:numPr>
        <w:spacing w:after="0"/>
        <w:ind w:left="360"/>
        <w:rPr>
          <w:rFonts w:cs="Arial"/>
          <w:szCs w:val="24"/>
        </w:rPr>
      </w:pPr>
      <w:r w:rsidRPr="00DD792B">
        <w:rPr>
          <w:rFonts w:cs="Arial"/>
          <w:szCs w:val="24"/>
        </w:rPr>
        <w:t>This is a fixed charge of £1,792 for each proposed new school. Estimating around 80 new schools a year, this would cost:</w:t>
      </w:r>
    </w:p>
    <w:p w14:paraId="5568D9A5" w14:textId="77777777" w:rsidR="00DD792B" w:rsidRPr="00DD792B" w:rsidRDefault="00DD792B" w:rsidP="00DD792B">
      <w:pPr>
        <w:pStyle w:val="DeptBullets"/>
        <w:numPr>
          <w:ilvl w:val="0"/>
          <w:numId w:val="0"/>
        </w:numPr>
        <w:spacing w:after="0"/>
        <w:ind w:left="360"/>
        <w:rPr>
          <w:rFonts w:cs="Arial"/>
          <w:szCs w:val="24"/>
        </w:rPr>
      </w:pPr>
    </w:p>
    <w:p w14:paraId="32727E70" w14:textId="77777777" w:rsidR="00DD792B" w:rsidRPr="00DD792B" w:rsidRDefault="00DD792B" w:rsidP="00DD792B">
      <w:pPr>
        <w:pStyle w:val="DeptBullets"/>
        <w:numPr>
          <w:ilvl w:val="0"/>
          <w:numId w:val="0"/>
        </w:numPr>
        <w:spacing w:after="0"/>
        <w:ind w:left="360"/>
        <w:rPr>
          <w:rFonts w:cs="Arial"/>
          <w:szCs w:val="24"/>
        </w:rPr>
      </w:pPr>
      <w:r w:rsidRPr="00DD792B">
        <w:rPr>
          <w:rFonts w:cs="Arial"/>
          <w:szCs w:val="24"/>
        </w:rPr>
        <w:t xml:space="preserve">80 x £1,792 </w:t>
      </w:r>
      <w:r w:rsidRPr="00DD792B">
        <w:rPr>
          <w:rFonts w:cs="Arial"/>
          <w:color w:val="222222"/>
          <w:szCs w:val="24"/>
          <w:shd w:val="clear" w:color="auto" w:fill="FFFFFF"/>
        </w:rPr>
        <w:t>≈</w:t>
      </w:r>
      <w:r w:rsidRPr="00DD792B">
        <w:rPr>
          <w:rFonts w:cs="Arial"/>
          <w:szCs w:val="24"/>
        </w:rPr>
        <w:t xml:space="preserve"> £143,000 per year</w:t>
      </w:r>
    </w:p>
    <w:p w14:paraId="008E46A6" w14:textId="638329A3" w:rsidR="00445560" w:rsidRPr="001E098C" w:rsidRDefault="00445560" w:rsidP="00DD792B">
      <w:pPr>
        <w:rPr>
          <w:rFonts w:ascii="Arial" w:hAnsi="Arial"/>
          <w:b/>
        </w:rPr>
      </w:pPr>
    </w:p>
    <w:sectPr w:rsidR="00445560" w:rsidRPr="001E098C" w:rsidSect="006B5D8B">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D2B3B" w14:textId="77777777" w:rsidR="007D6414" w:rsidRDefault="007D6414" w:rsidP="00A86E67">
      <w:r>
        <w:separator/>
      </w:r>
    </w:p>
  </w:endnote>
  <w:endnote w:type="continuationSeparator" w:id="0">
    <w:p w14:paraId="2EF801D2" w14:textId="77777777" w:rsidR="007D6414" w:rsidRDefault="007D6414" w:rsidP="00A8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0C45" w14:textId="77777777" w:rsidR="007D6414" w:rsidRDefault="007D6414" w:rsidP="00A86E67">
      <w:r>
        <w:separator/>
      </w:r>
    </w:p>
  </w:footnote>
  <w:footnote w:type="continuationSeparator" w:id="0">
    <w:p w14:paraId="6DA4E708" w14:textId="77777777" w:rsidR="007D6414" w:rsidRDefault="007D6414" w:rsidP="00A86E67">
      <w:r>
        <w:continuationSeparator/>
      </w:r>
    </w:p>
  </w:footnote>
  <w:footnote w:id="1">
    <w:p w14:paraId="46DBF871" w14:textId="06ACE225" w:rsidR="00C16062" w:rsidRPr="00C16062" w:rsidRDefault="00C16062">
      <w:pPr>
        <w:pStyle w:val="FootnoteText"/>
        <w:rPr>
          <w:rFonts w:ascii="Arial" w:hAnsi="Arial" w:cs="Arial"/>
        </w:rPr>
      </w:pPr>
      <w:r w:rsidRPr="00C16062">
        <w:rPr>
          <w:rStyle w:val="FootnoteReference"/>
          <w:rFonts w:ascii="Arial" w:hAnsi="Arial" w:cs="Arial"/>
        </w:rPr>
        <w:footnoteRef/>
      </w:r>
      <w:r w:rsidRPr="00C16062">
        <w:rPr>
          <w:rFonts w:ascii="Arial" w:hAnsi="Arial" w:cs="Arial"/>
        </w:rPr>
        <w:t xml:space="preserve"> http://www.legislation.gov.uk/uksi/2009/1607/contents/made</w:t>
      </w:r>
    </w:p>
  </w:footnote>
  <w:footnote w:id="2">
    <w:p w14:paraId="497FDBE0" w14:textId="3037A29D" w:rsidR="00A86E67" w:rsidRPr="00A86E67" w:rsidRDefault="00A86E67">
      <w:pPr>
        <w:pStyle w:val="FootnoteText"/>
        <w:rPr>
          <w:rFonts w:ascii="Arial" w:hAnsi="Arial" w:cs="Arial"/>
        </w:rPr>
      </w:pPr>
      <w:r w:rsidRPr="00A86E67">
        <w:rPr>
          <w:rStyle w:val="FootnoteReference"/>
          <w:rFonts w:ascii="Arial" w:hAnsi="Arial" w:cs="Arial"/>
        </w:rPr>
        <w:footnoteRef/>
      </w:r>
      <w:r w:rsidRPr="00A86E67">
        <w:rPr>
          <w:rFonts w:ascii="Arial" w:hAnsi="Arial" w:cs="Arial"/>
        </w:rPr>
        <w:t xml:space="preserve"> Statistical First Release 2016 on school and pupil characteristics.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125F07E2"/>
    <w:multiLevelType w:val="hybridMultilevel"/>
    <w:tmpl w:val="273A5774"/>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B2FC1"/>
    <w:multiLevelType w:val="hybridMultilevel"/>
    <w:tmpl w:val="9066407C"/>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549E7"/>
    <w:multiLevelType w:val="hybridMultilevel"/>
    <w:tmpl w:val="D50A7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F191A"/>
    <w:multiLevelType w:val="hybridMultilevel"/>
    <w:tmpl w:val="573C0828"/>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62CD3"/>
    <w:multiLevelType w:val="hybridMultilevel"/>
    <w:tmpl w:val="BFB2A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11AB6"/>
    <w:multiLevelType w:val="hybridMultilevel"/>
    <w:tmpl w:val="FC807964"/>
    <w:lvl w:ilvl="0" w:tplc="55343D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75775"/>
    <w:multiLevelType w:val="hybridMultilevel"/>
    <w:tmpl w:val="349A4C42"/>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4305D8"/>
    <w:multiLevelType w:val="hybridMultilevel"/>
    <w:tmpl w:val="2F9860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3D1C93"/>
    <w:multiLevelType w:val="hybridMultilevel"/>
    <w:tmpl w:val="D478A8CC"/>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60C5F"/>
    <w:multiLevelType w:val="hybridMultilevel"/>
    <w:tmpl w:val="9408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E2C5E"/>
    <w:multiLevelType w:val="hybridMultilevel"/>
    <w:tmpl w:val="F1AE2DE4"/>
    <w:lvl w:ilvl="0" w:tplc="53D21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114A1"/>
    <w:multiLevelType w:val="hybridMultilevel"/>
    <w:tmpl w:val="0C6CD5DC"/>
    <w:lvl w:ilvl="0" w:tplc="55343D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C1197"/>
    <w:multiLevelType w:val="hybridMultilevel"/>
    <w:tmpl w:val="E1005E2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427768"/>
    <w:multiLevelType w:val="hybridMultilevel"/>
    <w:tmpl w:val="9202FB5A"/>
    <w:lvl w:ilvl="0" w:tplc="FCE0A7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0C6D54"/>
    <w:multiLevelType w:val="hybridMultilevel"/>
    <w:tmpl w:val="0BBC8B0C"/>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16D14"/>
    <w:multiLevelType w:val="hybridMultilevel"/>
    <w:tmpl w:val="EB2A386A"/>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8011C"/>
    <w:multiLevelType w:val="hybridMultilevel"/>
    <w:tmpl w:val="5548019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4BB1"/>
    <w:multiLevelType w:val="hybridMultilevel"/>
    <w:tmpl w:val="2DAC80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A625CA"/>
    <w:multiLevelType w:val="hybridMultilevel"/>
    <w:tmpl w:val="5406C2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73917"/>
    <w:multiLevelType w:val="hybridMultilevel"/>
    <w:tmpl w:val="88EADC3A"/>
    <w:lvl w:ilvl="0" w:tplc="55343D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D3AA7"/>
    <w:multiLevelType w:val="hybridMultilevel"/>
    <w:tmpl w:val="7C6E0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90FE4"/>
    <w:multiLevelType w:val="hybridMultilevel"/>
    <w:tmpl w:val="9D204118"/>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E1A82"/>
    <w:multiLevelType w:val="hybridMultilevel"/>
    <w:tmpl w:val="26CEEFEC"/>
    <w:lvl w:ilvl="0" w:tplc="55343D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A256E"/>
    <w:multiLevelType w:val="hybridMultilevel"/>
    <w:tmpl w:val="6C46394E"/>
    <w:lvl w:ilvl="0" w:tplc="7C369FE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5" w15:restartNumberingAfterBreak="0">
    <w:nsid w:val="6973216E"/>
    <w:multiLevelType w:val="hybridMultilevel"/>
    <w:tmpl w:val="B25C271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DD49F4"/>
    <w:multiLevelType w:val="hybridMultilevel"/>
    <w:tmpl w:val="CF1C1482"/>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E2E20"/>
    <w:multiLevelType w:val="hybridMultilevel"/>
    <w:tmpl w:val="3C422F3C"/>
    <w:lvl w:ilvl="0" w:tplc="55343D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0108A"/>
    <w:multiLevelType w:val="hybridMultilevel"/>
    <w:tmpl w:val="06A2D0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D2CB5"/>
    <w:multiLevelType w:val="hybridMultilevel"/>
    <w:tmpl w:val="C5420D4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57E03"/>
    <w:multiLevelType w:val="hybridMultilevel"/>
    <w:tmpl w:val="3C30750A"/>
    <w:lvl w:ilvl="0" w:tplc="FCE0A7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259AC"/>
    <w:multiLevelType w:val="hybridMultilevel"/>
    <w:tmpl w:val="1642226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6"/>
  </w:num>
  <w:num w:numId="3">
    <w:abstractNumId w:val="30"/>
  </w:num>
  <w:num w:numId="4">
    <w:abstractNumId w:val="8"/>
  </w:num>
  <w:num w:numId="5">
    <w:abstractNumId w:val="3"/>
  </w:num>
  <w:num w:numId="6">
    <w:abstractNumId w:val="1"/>
  </w:num>
  <w:num w:numId="7">
    <w:abstractNumId w:val="0"/>
  </w:num>
  <w:num w:numId="8">
    <w:abstractNumId w:val="13"/>
  </w:num>
  <w:num w:numId="9">
    <w:abstractNumId w:val="6"/>
  </w:num>
  <w:num w:numId="10">
    <w:abstractNumId w:val="31"/>
  </w:num>
  <w:num w:numId="11">
    <w:abstractNumId w:val="15"/>
  </w:num>
  <w:num w:numId="12">
    <w:abstractNumId w:val="29"/>
  </w:num>
  <w:num w:numId="13">
    <w:abstractNumId w:val="25"/>
  </w:num>
  <w:num w:numId="14">
    <w:abstractNumId w:val="26"/>
  </w:num>
  <w:num w:numId="15">
    <w:abstractNumId w:val="12"/>
  </w:num>
  <w:num w:numId="16">
    <w:abstractNumId w:val="17"/>
  </w:num>
  <w:num w:numId="17">
    <w:abstractNumId w:val="28"/>
  </w:num>
  <w:num w:numId="18">
    <w:abstractNumId w:val="10"/>
  </w:num>
  <w:num w:numId="19">
    <w:abstractNumId w:val="7"/>
  </w:num>
  <w:num w:numId="20">
    <w:abstractNumId w:val="19"/>
  </w:num>
  <w:num w:numId="21">
    <w:abstractNumId w:val="2"/>
  </w:num>
  <w:num w:numId="22">
    <w:abstractNumId w:val="20"/>
  </w:num>
  <w:num w:numId="23">
    <w:abstractNumId w:val="11"/>
  </w:num>
  <w:num w:numId="24">
    <w:abstractNumId w:val="4"/>
  </w:num>
  <w:num w:numId="25">
    <w:abstractNumId w:val="5"/>
  </w:num>
  <w:num w:numId="26">
    <w:abstractNumId w:val="23"/>
  </w:num>
  <w:num w:numId="27">
    <w:abstractNumId w:val="27"/>
  </w:num>
  <w:num w:numId="28">
    <w:abstractNumId w:val="9"/>
  </w:num>
  <w:num w:numId="29">
    <w:abstractNumId w:val="21"/>
  </w:num>
  <w:num w:numId="30">
    <w:abstractNumId w:val="14"/>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6E"/>
    <w:rsid w:val="00003DBE"/>
    <w:rsid w:val="00005060"/>
    <w:rsid w:val="00010B32"/>
    <w:rsid w:val="00013542"/>
    <w:rsid w:val="00020287"/>
    <w:rsid w:val="00027405"/>
    <w:rsid w:val="00032303"/>
    <w:rsid w:val="000678AE"/>
    <w:rsid w:val="000B7BFD"/>
    <w:rsid w:val="000C3B0C"/>
    <w:rsid w:val="00100E48"/>
    <w:rsid w:val="00111C55"/>
    <w:rsid w:val="00111DDC"/>
    <w:rsid w:val="001327A2"/>
    <w:rsid w:val="00144110"/>
    <w:rsid w:val="00150A3E"/>
    <w:rsid w:val="00165BD5"/>
    <w:rsid w:val="00176295"/>
    <w:rsid w:val="00184ED9"/>
    <w:rsid w:val="00187051"/>
    <w:rsid w:val="001949FF"/>
    <w:rsid w:val="001A2D3D"/>
    <w:rsid w:val="001A58AB"/>
    <w:rsid w:val="001C4792"/>
    <w:rsid w:val="001D5728"/>
    <w:rsid w:val="001E098C"/>
    <w:rsid w:val="001F477C"/>
    <w:rsid w:val="001F7729"/>
    <w:rsid w:val="0020549A"/>
    <w:rsid w:val="00215B0D"/>
    <w:rsid w:val="0024029F"/>
    <w:rsid w:val="0024056C"/>
    <w:rsid w:val="002447C0"/>
    <w:rsid w:val="00246B09"/>
    <w:rsid w:val="00261208"/>
    <w:rsid w:val="002C641D"/>
    <w:rsid w:val="002E4E6B"/>
    <w:rsid w:val="003133A4"/>
    <w:rsid w:val="0037139F"/>
    <w:rsid w:val="00374977"/>
    <w:rsid w:val="003761FC"/>
    <w:rsid w:val="003A5A82"/>
    <w:rsid w:val="003C1960"/>
    <w:rsid w:val="003C76FF"/>
    <w:rsid w:val="003D079A"/>
    <w:rsid w:val="003D2926"/>
    <w:rsid w:val="003D4AB4"/>
    <w:rsid w:val="003E78CB"/>
    <w:rsid w:val="00404211"/>
    <w:rsid w:val="00416805"/>
    <w:rsid w:val="004325C6"/>
    <w:rsid w:val="00445560"/>
    <w:rsid w:val="004525A5"/>
    <w:rsid w:val="00457EEF"/>
    <w:rsid w:val="00465546"/>
    <w:rsid w:val="00465FF9"/>
    <w:rsid w:val="00493A60"/>
    <w:rsid w:val="004B0775"/>
    <w:rsid w:val="004B0891"/>
    <w:rsid w:val="004F1453"/>
    <w:rsid w:val="004F28A1"/>
    <w:rsid w:val="004F3907"/>
    <w:rsid w:val="004F6119"/>
    <w:rsid w:val="00513F4E"/>
    <w:rsid w:val="00523079"/>
    <w:rsid w:val="00523361"/>
    <w:rsid w:val="005305F3"/>
    <w:rsid w:val="005344F6"/>
    <w:rsid w:val="00553AAE"/>
    <w:rsid w:val="00555EF1"/>
    <w:rsid w:val="0058429E"/>
    <w:rsid w:val="00587D37"/>
    <w:rsid w:val="0059126F"/>
    <w:rsid w:val="005C16C5"/>
    <w:rsid w:val="005C1BE1"/>
    <w:rsid w:val="005C6EAB"/>
    <w:rsid w:val="005D6034"/>
    <w:rsid w:val="005E04F8"/>
    <w:rsid w:val="005F0661"/>
    <w:rsid w:val="005F1DE4"/>
    <w:rsid w:val="00606533"/>
    <w:rsid w:val="006164BD"/>
    <w:rsid w:val="0062004C"/>
    <w:rsid w:val="006308F1"/>
    <w:rsid w:val="0063182F"/>
    <w:rsid w:val="00636509"/>
    <w:rsid w:val="00643668"/>
    <w:rsid w:val="00645FBB"/>
    <w:rsid w:val="00656432"/>
    <w:rsid w:val="00660D23"/>
    <w:rsid w:val="00672C3F"/>
    <w:rsid w:val="00674368"/>
    <w:rsid w:val="006853B6"/>
    <w:rsid w:val="00693990"/>
    <w:rsid w:val="006A00C5"/>
    <w:rsid w:val="006B5D8B"/>
    <w:rsid w:val="006C165C"/>
    <w:rsid w:val="006C7A18"/>
    <w:rsid w:val="006D6680"/>
    <w:rsid w:val="006F3566"/>
    <w:rsid w:val="00702EC6"/>
    <w:rsid w:val="007141C8"/>
    <w:rsid w:val="007149CC"/>
    <w:rsid w:val="00721E33"/>
    <w:rsid w:val="0072215A"/>
    <w:rsid w:val="007247B5"/>
    <w:rsid w:val="00731B42"/>
    <w:rsid w:val="007349C7"/>
    <w:rsid w:val="00746B8A"/>
    <w:rsid w:val="0075721F"/>
    <w:rsid w:val="00763A17"/>
    <w:rsid w:val="00770CF0"/>
    <w:rsid w:val="00781AC8"/>
    <w:rsid w:val="00791AEA"/>
    <w:rsid w:val="00795754"/>
    <w:rsid w:val="007A0C76"/>
    <w:rsid w:val="007A693D"/>
    <w:rsid w:val="007B5174"/>
    <w:rsid w:val="007D173C"/>
    <w:rsid w:val="007D6414"/>
    <w:rsid w:val="00807CC7"/>
    <w:rsid w:val="0081103D"/>
    <w:rsid w:val="008273F0"/>
    <w:rsid w:val="00833B5B"/>
    <w:rsid w:val="00855C8F"/>
    <w:rsid w:val="00881BF1"/>
    <w:rsid w:val="00883D78"/>
    <w:rsid w:val="008B45B3"/>
    <w:rsid w:val="008B54DD"/>
    <w:rsid w:val="008D2E40"/>
    <w:rsid w:val="008E0E68"/>
    <w:rsid w:val="008E4147"/>
    <w:rsid w:val="00913CB6"/>
    <w:rsid w:val="009147A0"/>
    <w:rsid w:val="0091630D"/>
    <w:rsid w:val="00936C94"/>
    <w:rsid w:val="009705BA"/>
    <w:rsid w:val="00971710"/>
    <w:rsid w:val="00987503"/>
    <w:rsid w:val="009A30A0"/>
    <w:rsid w:val="009C4B67"/>
    <w:rsid w:val="009D6934"/>
    <w:rsid w:val="00A001EB"/>
    <w:rsid w:val="00A07ED2"/>
    <w:rsid w:val="00A163C2"/>
    <w:rsid w:val="00A360FB"/>
    <w:rsid w:val="00A609F0"/>
    <w:rsid w:val="00A65FFD"/>
    <w:rsid w:val="00A8007A"/>
    <w:rsid w:val="00A86E67"/>
    <w:rsid w:val="00AB1B20"/>
    <w:rsid w:val="00AC283A"/>
    <w:rsid w:val="00AC4826"/>
    <w:rsid w:val="00AC506E"/>
    <w:rsid w:val="00AC77D2"/>
    <w:rsid w:val="00AD3B57"/>
    <w:rsid w:val="00AD775C"/>
    <w:rsid w:val="00AE5076"/>
    <w:rsid w:val="00AF73F0"/>
    <w:rsid w:val="00B027BC"/>
    <w:rsid w:val="00B05CCD"/>
    <w:rsid w:val="00B07527"/>
    <w:rsid w:val="00B24A40"/>
    <w:rsid w:val="00B24E4B"/>
    <w:rsid w:val="00B3679D"/>
    <w:rsid w:val="00B50C08"/>
    <w:rsid w:val="00B5200F"/>
    <w:rsid w:val="00B622EA"/>
    <w:rsid w:val="00B6378C"/>
    <w:rsid w:val="00B725BF"/>
    <w:rsid w:val="00B73FCA"/>
    <w:rsid w:val="00B82D64"/>
    <w:rsid w:val="00B94B2D"/>
    <w:rsid w:val="00BA0C0E"/>
    <w:rsid w:val="00BA58F5"/>
    <w:rsid w:val="00BC0ACE"/>
    <w:rsid w:val="00BC3B2E"/>
    <w:rsid w:val="00BC5193"/>
    <w:rsid w:val="00BC5C44"/>
    <w:rsid w:val="00BD5F61"/>
    <w:rsid w:val="00BF7264"/>
    <w:rsid w:val="00BF7B1B"/>
    <w:rsid w:val="00C03E2D"/>
    <w:rsid w:val="00C136BE"/>
    <w:rsid w:val="00C16062"/>
    <w:rsid w:val="00C2403E"/>
    <w:rsid w:val="00C35614"/>
    <w:rsid w:val="00C42D50"/>
    <w:rsid w:val="00C45908"/>
    <w:rsid w:val="00C603B0"/>
    <w:rsid w:val="00C61BA7"/>
    <w:rsid w:val="00C73C5E"/>
    <w:rsid w:val="00C74DCE"/>
    <w:rsid w:val="00C82F5A"/>
    <w:rsid w:val="00C87167"/>
    <w:rsid w:val="00CC450B"/>
    <w:rsid w:val="00CD22AA"/>
    <w:rsid w:val="00CE33DF"/>
    <w:rsid w:val="00CF0BAD"/>
    <w:rsid w:val="00CF3220"/>
    <w:rsid w:val="00CF58E0"/>
    <w:rsid w:val="00D00730"/>
    <w:rsid w:val="00D05F77"/>
    <w:rsid w:val="00D2413C"/>
    <w:rsid w:val="00D26A33"/>
    <w:rsid w:val="00D27AD5"/>
    <w:rsid w:val="00D30992"/>
    <w:rsid w:val="00D31D1D"/>
    <w:rsid w:val="00D40AAE"/>
    <w:rsid w:val="00D63058"/>
    <w:rsid w:val="00D81FC6"/>
    <w:rsid w:val="00D8418E"/>
    <w:rsid w:val="00D84DB2"/>
    <w:rsid w:val="00D931F0"/>
    <w:rsid w:val="00DB0897"/>
    <w:rsid w:val="00DB2261"/>
    <w:rsid w:val="00DC5013"/>
    <w:rsid w:val="00DD792B"/>
    <w:rsid w:val="00DF04FC"/>
    <w:rsid w:val="00E13CD3"/>
    <w:rsid w:val="00E20FA9"/>
    <w:rsid w:val="00E22B98"/>
    <w:rsid w:val="00E27D48"/>
    <w:rsid w:val="00E31D43"/>
    <w:rsid w:val="00E350FB"/>
    <w:rsid w:val="00E412DE"/>
    <w:rsid w:val="00E41F13"/>
    <w:rsid w:val="00E55355"/>
    <w:rsid w:val="00E6059D"/>
    <w:rsid w:val="00E60927"/>
    <w:rsid w:val="00E76141"/>
    <w:rsid w:val="00E77C0D"/>
    <w:rsid w:val="00E8036E"/>
    <w:rsid w:val="00E82812"/>
    <w:rsid w:val="00EA6BA9"/>
    <w:rsid w:val="00EB01E7"/>
    <w:rsid w:val="00EC120D"/>
    <w:rsid w:val="00EC4CD1"/>
    <w:rsid w:val="00EF099E"/>
    <w:rsid w:val="00EF20F1"/>
    <w:rsid w:val="00F044F1"/>
    <w:rsid w:val="00F0556C"/>
    <w:rsid w:val="00F10759"/>
    <w:rsid w:val="00F3208C"/>
    <w:rsid w:val="00F543DB"/>
    <w:rsid w:val="00F54E60"/>
    <w:rsid w:val="00F56E44"/>
    <w:rsid w:val="00F67124"/>
    <w:rsid w:val="00F8110F"/>
    <w:rsid w:val="00F830B3"/>
    <w:rsid w:val="00FB4C3D"/>
    <w:rsid w:val="00FC22EC"/>
    <w:rsid w:val="00FC263F"/>
    <w:rsid w:val="00FD3D8C"/>
    <w:rsid w:val="00FE10C9"/>
    <w:rsid w:val="00FE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A9D6FF3"/>
  <w15:chartTrackingRefBased/>
  <w15:docId w15:val="{7FCBA4CE-1281-4786-A0B7-3CA2A7A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DB"/>
    <w:rPr>
      <w:sz w:val="24"/>
      <w:szCs w:val="24"/>
    </w:rPr>
  </w:style>
  <w:style w:type="paragraph" w:styleId="Heading3">
    <w:name w:val="heading 3"/>
    <w:basedOn w:val="Normal"/>
    <w:qFormat/>
    <w:rsid w:val="00702EC6"/>
    <w:pPr>
      <w:spacing w:before="100" w:beforeAutospacing="1"/>
      <w:outlineLvl w:val="2"/>
    </w:pPr>
    <w:rPr>
      <w:rFonts w:ascii="Verdana" w:hAnsi="Verdana" w:cs="Arial"/>
      <w:b/>
      <w:bCs/>
      <w:color w:val="000000"/>
      <w:sz w:val="34"/>
      <w:szCs w:val="34"/>
    </w:rPr>
  </w:style>
  <w:style w:type="paragraph" w:styleId="Heading4">
    <w:name w:val="heading 4"/>
    <w:basedOn w:val="Normal"/>
    <w:qFormat/>
    <w:rsid w:val="00702EC6"/>
    <w:pPr>
      <w:spacing w:before="100" w:beforeAutospacing="1"/>
      <w:outlineLvl w:val="3"/>
    </w:pPr>
    <w:rPr>
      <w:rFonts w:ascii="Verdana" w:hAnsi="Verdana" w:cs="Arial"/>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02EC6"/>
    <w:pPr>
      <w:spacing w:before="100" w:beforeAutospacing="1" w:after="100" w:afterAutospacing="1"/>
    </w:pPr>
    <w:rPr>
      <w:rFonts w:ascii="Verdana" w:hAnsi="Verdana" w:cs="Arial"/>
    </w:rPr>
  </w:style>
  <w:style w:type="character" w:styleId="Emphasis">
    <w:name w:val="Emphasis"/>
    <w:qFormat/>
    <w:rsid w:val="00702EC6"/>
    <w:rPr>
      <w:i/>
      <w:iCs/>
    </w:rPr>
  </w:style>
  <w:style w:type="character" w:styleId="Strong">
    <w:name w:val="Strong"/>
    <w:qFormat/>
    <w:rsid w:val="00702EC6"/>
    <w:rPr>
      <w:b/>
      <w:bCs/>
    </w:rPr>
  </w:style>
  <w:style w:type="paragraph" w:customStyle="1" w:styleId="Default">
    <w:name w:val="Default"/>
    <w:rsid w:val="0063650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E4147"/>
    <w:rPr>
      <w:rFonts w:ascii="Tahoma" w:hAnsi="Tahoma" w:cs="Tahoma"/>
      <w:sz w:val="16"/>
      <w:szCs w:val="16"/>
    </w:rPr>
  </w:style>
  <w:style w:type="character" w:styleId="CommentReference">
    <w:name w:val="annotation reference"/>
    <w:rsid w:val="00D2413C"/>
    <w:rPr>
      <w:sz w:val="16"/>
      <w:szCs w:val="16"/>
    </w:rPr>
  </w:style>
  <w:style w:type="paragraph" w:styleId="CommentText">
    <w:name w:val="annotation text"/>
    <w:basedOn w:val="Normal"/>
    <w:link w:val="CommentTextChar"/>
    <w:rsid w:val="00D2413C"/>
    <w:rPr>
      <w:sz w:val="20"/>
      <w:szCs w:val="20"/>
    </w:rPr>
  </w:style>
  <w:style w:type="character" w:customStyle="1" w:styleId="CommentTextChar">
    <w:name w:val="Comment Text Char"/>
    <w:basedOn w:val="DefaultParagraphFont"/>
    <w:link w:val="CommentText"/>
    <w:rsid w:val="00D2413C"/>
  </w:style>
  <w:style w:type="paragraph" w:styleId="CommentSubject">
    <w:name w:val="annotation subject"/>
    <w:basedOn w:val="CommentText"/>
    <w:next w:val="CommentText"/>
    <w:link w:val="CommentSubjectChar"/>
    <w:rsid w:val="00D2413C"/>
    <w:rPr>
      <w:b/>
      <w:bCs/>
    </w:rPr>
  </w:style>
  <w:style w:type="character" w:customStyle="1" w:styleId="CommentSubjectChar">
    <w:name w:val="Comment Subject Char"/>
    <w:link w:val="CommentSubject"/>
    <w:rsid w:val="00D2413C"/>
    <w:rPr>
      <w:b/>
      <w:bCs/>
    </w:rPr>
  </w:style>
  <w:style w:type="paragraph" w:styleId="ListParagraph">
    <w:name w:val="List Paragraph"/>
    <w:basedOn w:val="Normal"/>
    <w:uiPriority w:val="34"/>
    <w:qFormat/>
    <w:rsid w:val="00E82812"/>
    <w:pPr>
      <w:ind w:left="720"/>
    </w:pPr>
  </w:style>
  <w:style w:type="table" w:styleId="TableElegant">
    <w:name w:val="Table Elegant"/>
    <w:basedOn w:val="TableNormal"/>
    <w:rsid w:val="00E828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91630D"/>
    <w:rPr>
      <w:sz w:val="24"/>
      <w:szCs w:val="24"/>
    </w:rPr>
  </w:style>
  <w:style w:type="paragraph" w:customStyle="1" w:styleId="IAHeadLabel">
    <w:name w:val="IAHeadLabel"/>
    <w:basedOn w:val="Normal"/>
    <w:link w:val="IAHeadLabelChar"/>
    <w:rsid w:val="00936C94"/>
    <w:pPr>
      <w:spacing w:before="110" w:after="50"/>
    </w:pPr>
    <w:rPr>
      <w:rFonts w:ascii="Arial" w:eastAsia="SimSun" w:hAnsi="Arial"/>
      <w:b/>
      <w:color w:val="000000"/>
      <w:spacing w:val="-5"/>
      <w:sz w:val="20"/>
      <w:szCs w:val="20"/>
      <w:lang w:eastAsia="zh-CN"/>
    </w:rPr>
  </w:style>
  <w:style w:type="character" w:customStyle="1" w:styleId="IAHeadLabelChar">
    <w:name w:val="IAHeadLabel Char"/>
    <w:basedOn w:val="DefaultParagraphFont"/>
    <w:link w:val="IAHeadLabel"/>
    <w:rsid w:val="00936C94"/>
    <w:rPr>
      <w:rFonts w:ascii="Arial" w:eastAsia="SimSun" w:hAnsi="Arial"/>
      <w:b/>
      <w:color w:val="000000"/>
      <w:spacing w:val="-5"/>
      <w:lang w:eastAsia="zh-CN"/>
    </w:rPr>
  </w:style>
  <w:style w:type="paragraph" w:customStyle="1" w:styleId="IAHeadTitle">
    <w:name w:val="IAHeadTitle"/>
    <w:basedOn w:val="Normal"/>
    <w:link w:val="IAHeadTitleChar"/>
    <w:rsid w:val="00936C94"/>
    <w:pPr>
      <w:ind w:right="57"/>
    </w:pPr>
    <w:rPr>
      <w:rFonts w:ascii="Arial" w:eastAsia="SimSun" w:hAnsi="Arial"/>
      <w:b/>
      <w:spacing w:val="-6"/>
      <w:sz w:val="28"/>
      <w:szCs w:val="28"/>
      <w:lang w:eastAsia="zh-CN"/>
    </w:rPr>
  </w:style>
  <w:style w:type="paragraph" w:customStyle="1" w:styleId="IATitle">
    <w:name w:val="IATitle"/>
    <w:basedOn w:val="Normal"/>
    <w:rsid w:val="00936C94"/>
    <w:pPr>
      <w:ind w:left="113"/>
    </w:pPr>
    <w:rPr>
      <w:rFonts w:ascii="Arial" w:eastAsia="SimSun" w:hAnsi="Arial" w:cs="Arial"/>
      <w:sz w:val="20"/>
      <w:lang w:eastAsia="en-US"/>
    </w:rPr>
  </w:style>
  <w:style w:type="paragraph" w:customStyle="1" w:styleId="IANo">
    <w:name w:val="IANo"/>
    <w:basedOn w:val="Normal"/>
    <w:link w:val="IANoChar"/>
    <w:rsid w:val="00936C94"/>
    <w:pPr>
      <w:ind w:left="113"/>
    </w:pPr>
    <w:rPr>
      <w:rFonts w:ascii="Arial" w:hAnsi="Arial"/>
      <w:sz w:val="20"/>
      <w:szCs w:val="22"/>
      <w:lang w:eastAsia="en-US"/>
    </w:rPr>
  </w:style>
  <w:style w:type="character" w:customStyle="1" w:styleId="IAHeadTitleChar">
    <w:name w:val="IAHeadTitle Char"/>
    <w:link w:val="IAHeadTitle"/>
    <w:rsid w:val="00936C94"/>
    <w:rPr>
      <w:rFonts w:ascii="Arial" w:eastAsia="SimSun" w:hAnsi="Arial"/>
      <w:b/>
      <w:spacing w:val="-6"/>
      <w:sz w:val="28"/>
      <w:szCs w:val="28"/>
      <w:lang w:eastAsia="zh-CN"/>
    </w:rPr>
  </w:style>
  <w:style w:type="character" w:customStyle="1" w:styleId="IANoChar">
    <w:name w:val="IANo Char"/>
    <w:link w:val="IANo"/>
    <w:rsid w:val="00936C94"/>
    <w:rPr>
      <w:rFonts w:ascii="Arial" w:hAnsi="Arial"/>
      <w:szCs w:val="22"/>
      <w:lang w:eastAsia="en-US"/>
    </w:rPr>
  </w:style>
  <w:style w:type="paragraph" w:customStyle="1" w:styleId="IALeadDept">
    <w:name w:val="IALeadDept"/>
    <w:basedOn w:val="Normal"/>
    <w:rsid w:val="00936C94"/>
    <w:pPr>
      <w:ind w:left="113"/>
    </w:pPr>
    <w:rPr>
      <w:rFonts w:ascii="Arial" w:eastAsia="Arial Unicode MS" w:hAnsi="Arial" w:cs="Arial"/>
      <w:noProof/>
      <w:sz w:val="20"/>
      <w:lang w:eastAsia="en-US"/>
    </w:rPr>
  </w:style>
  <w:style w:type="paragraph" w:customStyle="1" w:styleId="IATableLines">
    <w:name w:val="IATableLines"/>
    <w:basedOn w:val="Normal"/>
    <w:link w:val="IATableLinesChar"/>
    <w:rsid w:val="00936C94"/>
    <w:pPr>
      <w:ind w:left="113" w:right="113"/>
    </w:pPr>
    <w:rPr>
      <w:rFonts w:ascii="Arial" w:eastAsia="SimSun" w:hAnsi="Arial"/>
      <w:spacing w:val="-5"/>
      <w:sz w:val="22"/>
      <w:szCs w:val="20"/>
      <w:lang w:eastAsia="zh-CN"/>
    </w:rPr>
  </w:style>
  <w:style w:type="character" w:customStyle="1" w:styleId="IATableLinesChar">
    <w:name w:val="IATableLines Char"/>
    <w:basedOn w:val="DefaultParagraphFont"/>
    <w:link w:val="IATableLines"/>
    <w:rsid w:val="00936C94"/>
    <w:rPr>
      <w:rFonts w:ascii="Arial" w:eastAsia="SimSun" w:hAnsi="Arial"/>
      <w:spacing w:val="-5"/>
      <w:sz w:val="22"/>
      <w:lang w:eastAsia="zh-CN"/>
    </w:rPr>
  </w:style>
  <w:style w:type="paragraph" w:customStyle="1" w:styleId="EBBodyPara">
    <w:name w:val="EBBodyPara"/>
    <w:basedOn w:val="BodyText"/>
    <w:rsid w:val="00936C94"/>
    <w:rPr>
      <w:rFonts w:ascii="Arial" w:hAnsi="Arial" w:cs="Arial"/>
      <w:bCs/>
      <w:color w:val="000000"/>
      <w:sz w:val="22"/>
      <w:szCs w:val="22"/>
    </w:rPr>
  </w:style>
  <w:style w:type="paragraph" w:styleId="BodyText">
    <w:name w:val="Body Text"/>
    <w:basedOn w:val="Normal"/>
    <w:link w:val="BodyTextChar"/>
    <w:rsid w:val="00936C94"/>
    <w:pPr>
      <w:spacing w:after="120"/>
    </w:pPr>
  </w:style>
  <w:style w:type="character" w:customStyle="1" w:styleId="BodyTextChar">
    <w:name w:val="Body Text Char"/>
    <w:basedOn w:val="DefaultParagraphFont"/>
    <w:link w:val="BodyText"/>
    <w:rsid w:val="00936C94"/>
    <w:rPr>
      <w:sz w:val="24"/>
      <w:szCs w:val="24"/>
    </w:rPr>
  </w:style>
  <w:style w:type="character" w:styleId="Hyperlink">
    <w:name w:val="Hyperlink"/>
    <w:rsid w:val="00D63058"/>
    <w:rPr>
      <w:color w:val="auto"/>
      <w:u w:val="single"/>
    </w:rPr>
  </w:style>
  <w:style w:type="paragraph" w:customStyle="1" w:styleId="DeptBullets">
    <w:name w:val="DeptBullets"/>
    <w:basedOn w:val="Normal"/>
    <w:rsid w:val="00D63058"/>
    <w:pPr>
      <w:widowControl w:val="0"/>
      <w:numPr>
        <w:numId w:val="30"/>
      </w:numPr>
      <w:overflowPunct w:val="0"/>
      <w:autoSpaceDE w:val="0"/>
      <w:autoSpaceDN w:val="0"/>
      <w:adjustRightInd w:val="0"/>
      <w:spacing w:after="240"/>
      <w:textAlignment w:val="baseline"/>
    </w:pPr>
    <w:rPr>
      <w:rFonts w:ascii="Arial" w:hAnsi="Arial"/>
      <w:szCs w:val="20"/>
      <w:lang w:eastAsia="en-US"/>
    </w:rPr>
  </w:style>
  <w:style w:type="paragraph" w:styleId="FootnoteText">
    <w:name w:val="footnote text"/>
    <w:basedOn w:val="Normal"/>
    <w:link w:val="FootnoteTextChar"/>
    <w:rsid w:val="00A86E67"/>
    <w:rPr>
      <w:sz w:val="20"/>
      <w:szCs w:val="20"/>
    </w:rPr>
  </w:style>
  <w:style w:type="character" w:customStyle="1" w:styleId="FootnoteTextChar">
    <w:name w:val="Footnote Text Char"/>
    <w:basedOn w:val="DefaultParagraphFont"/>
    <w:link w:val="FootnoteText"/>
    <w:rsid w:val="00A86E67"/>
  </w:style>
  <w:style w:type="character" w:styleId="FootnoteReference">
    <w:name w:val="footnote reference"/>
    <w:basedOn w:val="DefaultParagraphFont"/>
    <w:rsid w:val="00A86E67"/>
    <w:rPr>
      <w:vertAlign w:val="superscript"/>
    </w:rPr>
  </w:style>
  <w:style w:type="character" w:styleId="FollowedHyperlink">
    <w:name w:val="FollowedHyperlink"/>
    <w:basedOn w:val="DefaultParagraphFont"/>
    <w:rsid w:val="00C16062"/>
    <w:rPr>
      <w:color w:val="954F72" w:themeColor="followedHyperlink"/>
      <w:u w:val="single"/>
    </w:rPr>
  </w:style>
  <w:style w:type="paragraph" w:styleId="Header">
    <w:name w:val="header"/>
    <w:basedOn w:val="Normal"/>
    <w:link w:val="HeaderChar"/>
    <w:rsid w:val="00100E48"/>
    <w:pPr>
      <w:tabs>
        <w:tab w:val="center" w:pos="4513"/>
        <w:tab w:val="right" w:pos="9026"/>
      </w:tabs>
    </w:pPr>
  </w:style>
  <w:style w:type="character" w:customStyle="1" w:styleId="HeaderChar">
    <w:name w:val="Header Char"/>
    <w:basedOn w:val="DefaultParagraphFont"/>
    <w:link w:val="Header"/>
    <w:rsid w:val="00100E48"/>
    <w:rPr>
      <w:sz w:val="24"/>
      <w:szCs w:val="24"/>
    </w:rPr>
  </w:style>
  <w:style w:type="paragraph" w:styleId="Footer">
    <w:name w:val="footer"/>
    <w:basedOn w:val="Normal"/>
    <w:link w:val="FooterChar"/>
    <w:rsid w:val="00100E48"/>
    <w:pPr>
      <w:tabs>
        <w:tab w:val="center" w:pos="4513"/>
        <w:tab w:val="right" w:pos="9026"/>
      </w:tabs>
    </w:pPr>
  </w:style>
  <w:style w:type="character" w:customStyle="1" w:styleId="FooterChar">
    <w:name w:val="Footer Char"/>
    <w:basedOn w:val="DefaultParagraphFont"/>
    <w:link w:val="Footer"/>
    <w:rsid w:val="00100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59333">
      <w:bodyDiv w:val="1"/>
      <w:marLeft w:val="0"/>
      <w:marRight w:val="0"/>
      <w:marTop w:val="0"/>
      <w:marBottom w:val="0"/>
      <w:divBdr>
        <w:top w:val="none" w:sz="0" w:space="0" w:color="auto"/>
        <w:left w:val="none" w:sz="0" w:space="0" w:color="auto"/>
        <w:bottom w:val="none" w:sz="0" w:space="0" w:color="auto"/>
        <w:right w:val="none" w:sz="0" w:space="0" w:color="auto"/>
      </w:divBdr>
      <w:divsChild>
        <w:div w:id="656032637">
          <w:marLeft w:val="0"/>
          <w:marRight w:val="0"/>
          <w:marTop w:val="0"/>
          <w:marBottom w:val="0"/>
          <w:divBdr>
            <w:top w:val="none" w:sz="0" w:space="0" w:color="auto"/>
            <w:left w:val="none" w:sz="0" w:space="0" w:color="auto"/>
            <w:bottom w:val="none" w:sz="0" w:space="0" w:color="auto"/>
            <w:right w:val="none" w:sz="0" w:space="0" w:color="auto"/>
          </w:divBdr>
          <w:divsChild>
            <w:div w:id="1702978598">
              <w:marLeft w:val="0"/>
              <w:marRight w:val="0"/>
              <w:marTop w:val="0"/>
              <w:marBottom w:val="0"/>
              <w:divBdr>
                <w:top w:val="none" w:sz="0" w:space="0" w:color="auto"/>
                <w:left w:val="none" w:sz="0" w:space="0" w:color="auto"/>
                <w:bottom w:val="none" w:sz="0" w:space="0" w:color="auto"/>
                <w:right w:val="none" w:sz="0" w:space="0" w:color="auto"/>
              </w:divBdr>
              <w:divsChild>
                <w:div w:id="681005501">
                  <w:marLeft w:val="0"/>
                  <w:marRight w:val="0"/>
                  <w:marTop w:val="0"/>
                  <w:marBottom w:val="0"/>
                  <w:divBdr>
                    <w:top w:val="none" w:sz="0" w:space="0" w:color="auto"/>
                    <w:left w:val="none" w:sz="0" w:space="0" w:color="auto"/>
                    <w:bottom w:val="none" w:sz="0" w:space="0" w:color="auto"/>
                    <w:right w:val="none" w:sz="0" w:space="0" w:color="auto"/>
                  </w:divBdr>
                  <w:divsChild>
                    <w:div w:id="76823826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6825">
      <w:bodyDiv w:val="1"/>
      <w:marLeft w:val="0"/>
      <w:marRight w:val="0"/>
      <w:marTop w:val="0"/>
      <w:marBottom w:val="0"/>
      <w:divBdr>
        <w:top w:val="none" w:sz="0" w:space="0" w:color="auto"/>
        <w:left w:val="none" w:sz="0" w:space="0" w:color="auto"/>
        <w:bottom w:val="none" w:sz="0" w:space="0" w:color="auto"/>
        <w:right w:val="none" w:sz="0" w:space="0" w:color="auto"/>
      </w:divBdr>
      <w:divsChild>
        <w:div w:id="1294557766">
          <w:marLeft w:val="0"/>
          <w:marRight w:val="0"/>
          <w:marTop w:val="0"/>
          <w:marBottom w:val="0"/>
          <w:divBdr>
            <w:top w:val="none" w:sz="0" w:space="0" w:color="auto"/>
            <w:left w:val="none" w:sz="0" w:space="0" w:color="auto"/>
            <w:bottom w:val="none" w:sz="0" w:space="0" w:color="auto"/>
            <w:right w:val="none" w:sz="0" w:space="0" w:color="auto"/>
          </w:divBdr>
          <w:divsChild>
            <w:div w:id="1900634224">
              <w:marLeft w:val="0"/>
              <w:marRight w:val="0"/>
              <w:marTop w:val="0"/>
              <w:marBottom w:val="0"/>
              <w:divBdr>
                <w:top w:val="none" w:sz="0" w:space="0" w:color="auto"/>
                <w:left w:val="none" w:sz="0" w:space="0" w:color="auto"/>
                <w:bottom w:val="none" w:sz="0" w:space="0" w:color="auto"/>
                <w:right w:val="none" w:sz="0" w:space="0" w:color="auto"/>
              </w:divBdr>
              <w:divsChild>
                <w:div w:id="623460259">
                  <w:marLeft w:val="0"/>
                  <w:marRight w:val="0"/>
                  <w:marTop w:val="0"/>
                  <w:marBottom w:val="0"/>
                  <w:divBdr>
                    <w:top w:val="none" w:sz="0" w:space="0" w:color="auto"/>
                    <w:left w:val="none" w:sz="0" w:space="0" w:color="auto"/>
                    <w:bottom w:val="none" w:sz="0" w:space="0" w:color="auto"/>
                    <w:right w:val="none" w:sz="0" w:space="0" w:color="auto"/>
                  </w:divBdr>
                  <w:divsChild>
                    <w:div w:id="144141335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4679">
      <w:bodyDiv w:val="1"/>
      <w:marLeft w:val="0"/>
      <w:marRight w:val="0"/>
      <w:marTop w:val="0"/>
      <w:marBottom w:val="0"/>
      <w:divBdr>
        <w:top w:val="none" w:sz="0" w:space="0" w:color="auto"/>
        <w:left w:val="none" w:sz="0" w:space="0" w:color="auto"/>
        <w:bottom w:val="none" w:sz="0" w:space="0" w:color="auto"/>
        <w:right w:val="none" w:sz="0" w:space="0" w:color="auto"/>
      </w:divBdr>
    </w:div>
    <w:div w:id="1130246049">
      <w:bodyDiv w:val="1"/>
      <w:marLeft w:val="0"/>
      <w:marRight w:val="0"/>
      <w:marTop w:val="0"/>
      <w:marBottom w:val="0"/>
      <w:divBdr>
        <w:top w:val="none" w:sz="0" w:space="0" w:color="auto"/>
        <w:left w:val="none" w:sz="0" w:space="0" w:color="auto"/>
        <w:bottom w:val="none" w:sz="0" w:space="0" w:color="auto"/>
        <w:right w:val="none" w:sz="0" w:space="0" w:color="auto"/>
      </w:divBdr>
    </w:div>
    <w:div w:id="1515264614">
      <w:bodyDiv w:val="1"/>
      <w:marLeft w:val="0"/>
      <w:marRight w:val="0"/>
      <w:marTop w:val="0"/>
      <w:marBottom w:val="0"/>
      <w:divBdr>
        <w:top w:val="none" w:sz="0" w:space="0" w:color="auto"/>
        <w:left w:val="none" w:sz="0" w:space="0" w:color="auto"/>
        <w:bottom w:val="none" w:sz="0" w:space="0" w:color="auto"/>
        <w:right w:val="none" w:sz="0" w:space="0" w:color="auto"/>
      </w:divBdr>
      <w:divsChild>
        <w:div w:id="1252860833">
          <w:marLeft w:val="0"/>
          <w:marRight w:val="0"/>
          <w:marTop w:val="0"/>
          <w:marBottom w:val="0"/>
          <w:divBdr>
            <w:top w:val="none" w:sz="0" w:space="0" w:color="auto"/>
            <w:left w:val="none" w:sz="0" w:space="0" w:color="auto"/>
            <w:bottom w:val="none" w:sz="0" w:space="0" w:color="auto"/>
            <w:right w:val="none" w:sz="0" w:space="0" w:color="auto"/>
          </w:divBdr>
          <w:divsChild>
            <w:div w:id="1998872901">
              <w:marLeft w:val="0"/>
              <w:marRight w:val="0"/>
              <w:marTop w:val="0"/>
              <w:marBottom w:val="0"/>
              <w:divBdr>
                <w:top w:val="none" w:sz="0" w:space="0" w:color="auto"/>
                <w:left w:val="none" w:sz="0" w:space="0" w:color="auto"/>
                <w:bottom w:val="none" w:sz="0" w:space="0" w:color="auto"/>
                <w:right w:val="none" w:sz="0" w:space="0" w:color="auto"/>
              </w:divBdr>
              <w:divsChild>
                <w:div w:id="1526946765">
                  <w:marLeft w:val="0"/>
                  <w:marRight w:val="0"/>
                  <w:marTop w:val="0"/>
                  <w:marBottom w:val="0"/>
                  <w:divBdr>
                    <w:top w:val="none" w:sz="0" w:space="0" w:color="auto"/>
                    <w:left w:val="none" w:sz="0" w:space="0" w:color="auto"/>
                    <w:bottom w:val="none" w:sz="0" w:space="0" w:color="auto"/>
                    <w:right w:val="none" w:sz="0" w:space="0" w:color="auto"/>
                  </w:divBdr>
                  <w:divsChild>
                    <w:div w:id="14995420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73563">
      <w:bodyDiv w:val="1"/>
      <w:marLeft w:val="0"/>
      <w:marRight w:val="0"/>
      <w:marTop w:val="0"/>
      <w:marBottom w:val="0"/>
      <w:divBdr>
        <w:top w:val="none" w:sz="0" w:space="0" w:color="auto"/>
        <w:left w:val="none" w:sz="0" w:space="0" w:color="auto"/>
        <w:bottom w:val="none" w:sz="0" w:space="0" w:color="auto"/>
        <w:right w:val="none" w:sz="0" w:space="0" w:color="auto"/>
      </w:divBdr>
      <w:divsChild>
        <w:div w:id="184248310">
          <w:marLeft w:val="0"/>
          <w:marRight w:val="0"/>
          <w:marTop w:val="0"/>
          <w:marBottom w:val="0"/>
          <w:divBdr>
            <w:top w:val="none" w:sz="0" w:space="0" w:color="auto"/>
            <w:left w:val="none" w:sz="0" w:space="0" w:color="auto"/>
            <w:bottom w:val="none" w:sz="0" w:space="0" w:color="auto"/>
            <w:right w:val="none" w:sz="0" w:space="0" w:color="auto"/>
          </w:divBdr>
          <w:divsChild>
            <w:div w:id="1306200815">
              <w:marLeft w:val="0"/>
              <w:marRight w:val="0"/>
              <w:marTop w:val="0"/>
              <w:marBottom w:val="0"/>
              <w:divBdr>
                <w:top w:val="none" w:sz="0" w:space="0" w:color="auto"/>
                <w:left w:val="none" w:sz="0" w:space="0" w:color="auto"/>
                <w:bottom w:val="none" w:sz="0" w:space="0" w:color="auto"/>
                <w:right w:val="none" w:sz="0" w:space="0" w:color="auto"/>
              </w:divBdr>
              <w:divsChild>
                <w:div w:id="1323462275">
                  <w:marLeft w:val="0"/>
                  <w:marRight w:val="0"/>
                  <w:marTop w:val="0"/>
                  <w:marBottom w:val="0"/>
                  <w:divBdr>
                    <w:top w:val="none" w:sz="0" w:space="0" w:color="auto"/>
                    <w:left w:val="none" w:sz="0" w:space="0" w:color="auto"/>
                    <w:bottom w:val="none" w:sz="0" w:space="0" w:color="auto"/>
                    <w:right w:val="none" w:sz="0" w:space="0" w:color="auto"/>
                  </w:divBdr>
                  <w:divsChild>
                    <w:div w:id="638371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607/contents/m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EEE2-94D2-4893-9C89-A25CFBB5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Regulatory Triage Assessment</vt:lpstr>
    </vt:vector>
  </TitlesOfParts>
  <Company>BIS</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Triage Assessment</dc:title>
  <dc:subject/>
  <dc:creator>pedens</dc:creator>
  <cp:keywords/>
  <cp:lastModifiedBy>BISHOP, Stephen</cp:lastModifiedBy>
  <cp:revision>4</cp:revision>
  <cp:lastPrinted>2017-01-24T13:48:00Z</cp:lastPrinted>
  <dcterms:created xsi:type="dcterms:W3CDTF">2017-03-21T14:18:00Z</dcterms:created>
  <dcterms:modified xsi:type="dcterms:W3CDTF">2017-10-06T13:57:00Z</dcterms:modified>
</cp:coreProperties>
</file>